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B80" w:rsidRDefault="00156B80" w:rsidP="00555CE4">
      <w:pPr>
        <w:rPr>
          <w:b/>
          <w:sz w:val="28"/>
        </w:rPr>
      </w:pPr>
    </w:p>
    <w:p w:rsidR="00350A91" w:rsidRPr="005C0518" w:rsidRDefault="005C0518" w:rsidP="00350A91">
      <w:pPr>
        <w:pStyle w:val="Tittel"/>
        <w:pBdr>
          <w:bottom w:val="single" w:sz="18" w:space="4" w:color="5B9BD5" w:themeColor="accent1"/>
        </w:pBdr>
        <w:tabs>
          <w:tab w:val="left" w:pos="567"/>
        </w:tabs>
        <w:spacing w:after="120"/>
        <w:contextualSpacing w:val="0"/>
        <w:rPr>
          <w:sz w:val="50"/>
          <w:szCs w:val="50"/>
        </w:rPr>
      </w:pPr>
      <w:r w:rsidRPr="005C0518">
        <w:rPr>
          <w:sz w:val="50"/>
          <w:szCs w:val="50"/>
        </w:rPr>
        <w:t xml:space="preserve">Spørsmål og svar – Hva inngår i ordningen? </w:t>
      </w:r>
    </w:p>
    <w:p w:rsidR="00955FF0" w:rsidRPr="005C0518" w:rsidRDefault="00350A91" w:rsidP="00350A91">
      <w:pPr>
        <w:pStyle w:val="Tittel"/>
        <w:pBdr>
          <w:bottom w:val="single" w:sz="18" w:space="4" w:color="5B9BD5" w:themeColor="accent1"/>
        </w:pBdr>
        <w:tabs>
          <w:tab w:val="left" w:pos="284"/>
        </w:tabs>
        <w:spacing w:before="240"/>
        <w:rPr>
          <w:rFonts w:cs="Arial"/>
          <w:i/>
          <w:color w:val="9CC2E5" w:themeColor="accent1" w:themeTint="99"/>
          <w:sz w:val="28"/>
        </w:rPr>
      </w:pPr>
      <w:r w:rsidRPr="005C0518">
        <w:rPr>
          <w:color w:val="9CC2E5" w:themeColor="accent1" w:themeTint="99"/>
        </w:rPr>
        <w:tab/>
      </w:r>
      <w:r w:rsidR="00195B27">
        <w:rPr>
          <w:rFonts w:cs="Arial"/>
          <w:i/>
          <w:color w:val="9CC2E5" w:themeColor="accent1" w:themeTint="99"/>
          <w:sz w:val="28"/>
        </w:rPr>
        <w:t>-</w:t>
      </w:r>
      <w:r w:rsidR="00D579A7" w:rsidRPr="005C0518">
        <w:rPr>
          <w:rFonts w:cs="Arial"/>
          <w:i/>
          <w:color w:val="9CC2E5" w:themeColor="accent1" w:themeTint="99"/>
          <w:sz w:val="28"/>
        </w:rPr>
        <w:t xml:space="preserve"> oppdatert </w:t>
      </w:r>
      <w:r w:rsidR="00015B9A">
        <w:rPr>
          <w:rFonts w:cs="Arial"/>
          <w:i/>
          <w:color w:val="9CC2E5" w:themeColor="accent1" w:themeTint="99"/>
          <w:sz w:val="28"/>
        </w:rPr>
        <w:t>31</w:t>
      </w:r>
      <w:r w:rsidR="005C0518">
        <w:rPr>
          <w:rFonts w:cs="Arial"/>
          <w:i/>
          <w:color w:val="9CC2E5" w:themeColor="accent1" w:themeTint="99"/>
          <w:sz w:val="28"/>
        </w:rPr>
        <w:t>.</w:t>
      </w:r>
      <w:r w:rsidR="00A936EB">
        <w:rPr>
          <w:rFonts w:cs="Arial"/>
          <w:i/>
          <w:color w:val="9CC2E5" w:themeColor="accent1" w:themeTint="99"/>
          <w:sz w:val="28"/>
        </w:rPr>
        <w:t>01</w:t>
      </w:r>
      <w:r w:rsidR="005C0518">
        <w:rPr>
          <w:rFonts w:cs="Arial"/>
          <w:i/>
          <w:color w:val="9CC2E5" w:themeColor="accent1" w:themeTint="99"/>
          <w:sz w:val="28"/>
        </w:rPr>
        <w:t>.</w:t>
      </w:r>
      <w:r w:rsidR="00A936EB">
        <w:rPr>
          <w:rFonts w:cs="Arial"/>
          <w:i/>
          <w:color w:val="9CC2E5" w:themeColor="accent1" w:themeTint="99"/>
          <w:sz w:val="28"/>
        </w:rPr>
        <w:t>2017</w:t>
      </w:r>
    </w:p>
    <w:p w:rsidR="00B41261" w:rsidRDefault="00B41261" w:rsidP="00B41261">
      <w:pPr>
        <w:pStyle w:val="Overskrift1"/>
      </w:pPr>
      <w:r>
        <w:t>Investeringer</w:t>
      </w:r>
    </w:p>
    <w:p w:rsidR="005E4A97" w:rsidRDefault="00B41261" w:rsidP="00B41261">
      <w:pPr>
        <w:pStyle w:val="Overskrift2"/>
      </w:pPr>
      <w:r>
        <w:t xml:space="preserve">Når vil man inkludere investeringer i ordningen? </w:t>
      </w:r>
    </w:p>
    <w:p w:rsidR="005C0518" w:rsidRDefault="00B41261" w:rsidP="005C0518">
      <w:r>
        <w:t xml:space="preserve">Det foreligger verken noen beslutning eller planer for tidspunkt for innføring av nøytral merverdiavgift for investeringer. </w:t>
      </w:r>
    </w:p>
    <w:p w:rsidR="00B41261" w:rsidRDefault="00B41261" w:rsidP="00B41261">
      <w:pPr>
        <w:pStyle w:val="Overskrift2"/>
      </w:pPr>
      <w:r>
        <w:t xml:space="preserve">Hvordan bør man eventuelt innrette seg i forhold til framtidig innføring? </w:t>
      </w:r>
    </w:p>
    <w:p w:rsidR="00B41261" w:rsidRDefault="00B41261" w:rsidP="00B41261">
      <w:r>
        <w:t xml:space="preserve">Innføring av nøytral merverdiavgift for investeringer vil skje tidligst når man har tilstrekkelig erfaringer fra ordningen som trer i kraft 1.1.2017. </w:t>
      </w:r>
    </w:p>
    <w:p w:rsidR="00B41261" w:rsidRDefault="00B41261" w:rsidP="00B41261">
      <w:r>
        <w:t xml:space="preserve">Framtidig innføring av kompensasjon for investeringer vil ikke ha tilbakevirkende kraft. </w:t>
      </w:r>
    </w:p>
    <w:p w:rsidR="00B41261" w:rsidRDefault="00B41261" w:rsidP="00B41261">
      <w:pPr>
        <w:pStyle w:val="Overskrift2"/>
      </w:pPr>
      <w:r>
        <w:t xml:space="preserve">Er grenser for investering kr 100 000 inkl. eller ekskl. merverdiavgift? </w:t>
      </w:r>
    </w:p>
    <w:p w:rsidR="00B41261" w:rsidRDefault="00B41261" w:rsidP="00B41261">
      <w:r>
        <w:t xml:space="preserve">Beløpsgrensen gjelder for det aktiverbare beløpet for helseregioner jf. felles regnskapshåndbok for helseregionene kapittel 10.1.2.2. </w:t>
      </w:r>
    </w:p>
    <w:p w:rsidR="00775375" w:rsidRDefault="00775375" w:rsidP="00B41261">
      <w:r>
        <w:t xml:space="preserve">For kompensasjonsordningen er beløpsgrensen inkl. merverdiavgift. Dersom en har fradrag for merverdiavgift etter merverdiavgiftsloven, så er beløpsgrensen ekskl. merverdiavgift. </w:t>
      </w:r>
    </w:p>
    <w:p w:rsidR="00775375" w:rsidRDefault="00775375" w:rsidP="00B41261">
      <w:r>
        <w:t xml:space="preserve">NB. Kunst har en lavere grense for aktivering – kr 15 000 i helseregionene. </w:t>
      </w:r>
    </w:p>
    <w:p w:rsidR="00775375" w:rsidRDefault="00775375" w:rsidP="00775375">
      <w:pPr>
        <w:pStyle w:val="Overskrift1"/>
      </w:pPr>
      <w:r>
        <w:t>Tjenestereiser</w:t>
      </w:r>
    </w:p>
    <w:p w:rsidR="00775375" w:rsidRDefault="00775375" w:rsidP="00775375">
      <w:pPr>
        <w:pStyle w:val="Overskrift2"/>
      </w:pPr>
      <w:r>
        <w:t>Hva inngår i tjenestereiser?</w:t>
      </w:r>
    </w:p>
    <w:p w:rsidR="00775375" w:rsidRDefault="00775375" w:rsidP="00775375">
      <w:r>
        <w:t xml:space="preserve">I tjenestereiser inngår all transport, uavhengig av transportmiddel, overnatting, diett og parkering uavhengig av årsak til at reisen er gjennomført. </w:t>
      </w:r>
    </w:p>
    <w:p w:rsidR="00775375" w:rsidRDefault="00775375" w:rsidP="00775375">
      <w:pPr>
        <w:pStyle w:val="Overskrift2"/>
      </w:pPr>
      <w:r>
        <w:t xml:space="preserve">Er det noen tjenestereisekostnader vi vil kunne få kompensasjon for? </w:t>
      </w:r>
    </w:p>
    <w:p w:rsidR="00775375" w:rsidRDefault="00775375" w:rsidP="00775375">
      <w:r>
        <w:t xml:space="preserve">Nei. Reise- og oppholdsutgifter er holdt utenfor ordningen. Dette gjelder både tjenestereiser som refunderes den ansatte eller andre reise- og hotellopphold som er fakturert til virksomheten. Dersom reise eller opphold faktureres i forbindelse med møter, kongresser eller lignende, vil verken reiseutgifter (fly, tog, buss, ferge, leiebil etc.) eller hotellovernatting være omfattet av ordningen. </w:t>
      </w:r>
    </w:p>
    <w:p w:rsidR="00775375" w:rsidRDefault="00775375" w:rsidP="00775375">
      <w:pPr>
        <w:pStyle w:val="Overskrift2"/>
      </w:pPr>
      <w:r>
        <w:t xml:space="preserve">Er det noen kostnader knyttet til reiseregninger som vi vil kunne få kompensasjon for? </w:t>
      </w:r>
    </w:p>
    <w:p w:rsidR="00775375" w:rsidRPr="00775375" w:rsidRDefault="00775375" w:rsidP="00775375">
      <w:r>
        <w:t xml:space="preserve">Utlegg som ikke er knyttet til tjenestereiser kan tas med. Det kan være avhengig av systemløsning hvordan dette skal håndteres. </w:t>
      </w:r>
    </w:p>
    <w:p w:rsidR="00BB71E8" w:rsidRDefault="00BB71E8" w:rsidP="00B41261">
      <w:pPr>
        <w:pStyle w:val="Overskrift1"/>
      </w:pPr>
    </w:p>
    <w:p w:rsidR="00BB71E8" w:rsidRDefault="00BB71E8" w:rsidP="00B41261">
      <w:pPr>
        <w:pStyle w:val="Overskrift1"/>
      </w:pPr>
      <w:r>
        <w:t>Leie</w:t>
      </w:r>
      <w:r w:rsidR="00195B27">
        <w:t>kostnader</w:t>
      </w:r>
    </w:p>
    <w:p w:rsidR="00BB71E8" w:rsidRDefault="00BB71E8" w:rsidP="00BB71E8">
      <w:pPr>
        <w:pStyle w:val="Overskrift2"/>
      </w:pPr>
      <w:r>
        <w:t>På strømregningen er det også en post for nettleie, er den omfattet av unntaket for leiekostnader?</w:t>
      </w:r>
    </w:p>
    <w:p w:rsidR="00BB71E8" w:rsidRDefault="00BB71E8" w:rsidP="00BB71E8">
      <w:r>
        <w:t>Leie for bruk av strømnettet regnes som en del av kostnaden med elektrisitet og bokføres sammen med denne på konto 6340.  Det gis kompensasjon for merverdiavgift på strømforbruk inklusive nettleie.</w:t>
      </w:r>
    </w:p>
    <w:p w:rsidR="00063E5B" w:rsidRDefault="00063E5B" w:rsidP="00063E5B">
      <w:pPr>
        <w:pStyle w:val="Overskrift2"/>
      </w:pPr>
      <w:r>
        <w:t>Vi betaler også leie for bankterminaler – er dette omfattet av unntaket for leie?</w:t>
      </w:r>
    </w:p>
    <w:p w:rsidR="00195B27" w:rsidRDefault="00195B27" w:rsidP="00195B27">
      <w:r>
        <w:t>Ja. Leie av bankterminaler skal bokføres på konto 6410.  Alle leiekostnader i kontogruppe 64* er unntatt fra ordningen om nøytral merverdiavgift.</w:t>
      </w:r>
    </w:p>
    <w:p w:rsidR="00195B27" w:rsidRDefault="00195B27" w:rsidP="00195B27">
      <w:pPr>
        <w:pStyle w:val="Overskrift2"/>
      </w:pPr>
      <w:r>
        <w:t>I forbindelse med kjøp av medisinsk gass, leier vi gassflasker.  Er denne leien omfattet av unntaket for leiekostnader?</w:t>
      </w:r>
    </w:p>
    <w:p w:rsidR="00195B27" w:rsidRDefault="00195B27" w:rsidP="00195B27">
      <w:r>
        <w:t>Ja. Leie av gassflasker skal kostnadsføres på konto 6490 Andre leiekostnader og er unntatt fra ordningen om nøytral merverdiavgift.</w:t>
      </w:r>
    </w:p>
    <w:p w:rsidR="00195B27" w:rsidRDefault="00F460EF" w:rsidP="00F460EF">
      <w:pPr>
        <w:pStyle w:val="Overskrift2"/>
      </w:pPr>
      <w:r>
        <w:t>Vi leier noen parkeringsplasser – er slik leie omfattet av unntaket for leiekostnader?</w:t>
      </w:r>
    </w:p>
    <w:p w:rsidR="00F460EF" w:rsidRDefault="000B19AB" w:rsidP="00F460EF">
      <w:r>
        <w:t>Ja, leie av parkeringsplasser skal føres på konto 6390 og er unntatt fra ordningen om nøytral merverdiavgift.</w:t>
      </w:r>
    </w:p>
    <w:p w:rsidR="005550EF" w:rsidRDefault="005550EF" w:rsidP="005550EF">
      <w:pPr>
        <w:pStyle w:val="Overskrift2"/>
      </w:pPr>
      <w:r>
        <w:t xml:space="preserve">Leie av lokaler konto 6300 er unntatt fra ordningen. Men hvis deler av felleskostnadene på konto 6390 blir fakturert oss med merverdiavgift, er disse også unntatt? </w:t>
      </w:r>
    </w:p>
    <w:p w:rsidR="005550EF" w:rsidRPr="00F460EF" w:rsidRDefault="005550EF" w:rsidP="00F460EF">
      <w:r w:rsidRPr="005550EF">
        <w:t>Det er kun selve leiebeløpet som ikke gir momskomp. Leie</w:t>
      </w:r>
      <w:r>
        <w:t xml:space="preserve">n bør/skal faktureres uten mva. </w:t>
      </w:r>
      <w:r w:rsidRPr="005550EF">
        <w:t>Felleskostnader som strøm, vaktmestert</w:t>
      </w:r>
      <w:r>
        <w:t xml:space="preserve">jenester og lignende som er fakturert med </w:t>
      </w:r>
      <w:proofErr w:type="spellStart"/>
      <w:r>
        <w:t>mva</w:t>
      </w:r>
      <w:proofErr w:type="spellEnd"/>
      <w:r w:rsidRPr="005550EF">
        <w:t xml:space="preserve"> gir momskompensasjon.</w:t>
      </w:r>
    </w:p>
    <w:p w:rsidR="00B41261" w:rsidRDefault="00B41261" w:rsidP="00B41261">
      <w:pPr>
        <w:pStyle w:val="Overskrift1"/>
      </w:pPr>
      <w:r>
        <w:t xml:space="preserve">Andre spørsmål </w:t>
      </w:r>
    </w:p>
    <w:p w:rsidR="00775375" w:rsidRDefault="00775375" w:rsidP="00775375">
      <w:pPr>
        <w:pStyle w:val="Overskrift2"/>
      </w:pPr>
      <w:r>
        <w:t xml:space="preserve">Er kunst omfattet av kompensasjonsordningen? </w:t>
      </w:r>
    </w:p>
    <w:p w:rsidR="00775375" w:rsidRPr="00775375" w:rsidRDefault="00775375" w:rsidP="00775375">
      <w:r>
        <w:t xml:space="preserve">Normalt er det ikke merverdiavgift på kunst når det kjøpes fra kunstner eller via mellommann. For å få kompensasjon må merverdiavgift være spesifisert på fakturaen. </w:t>
      </w:r>
    </w:p>
    <w:p w:rsidR="00B41261" w:rsidRDefault="00B41261" w:rsidP="00B41261">
      <w:pPr>
        <w:pStyle w:val="Overskrift2"/>
      </w:pPr>
      <w:r>
        <w:t xml:space="preserve">Inngår kjøp og årlig lisensavgift på programvare i ordningen? </w:t>
      </w:r>
    </w:p>
    <w:p w:rsidR="00450168" w:rsidRPr="00450168" w:rsidRDefault="00B41261" w:rsidP="00450168">
      <w:r>
        <w:t>Ja, i den grad lisensene ikke skal aktiveres som del av en investering, inngår disse i ordningen. Lisensavtaler betraktes ikk</w:t>
      </w:r>
      <w:r w:rsidR="0042606E">
        <w:t xml:space="preserve">e som leie i denne sammenheng. </w:t>
      </w:r>
    </w:p>
    <w:p w:rsidR="00B41261" w:rsidRDefault="00450168" w:rsidP="00450168">
      <w:pPr>
        <w:pStyle w:val="Overskrift2"/>
      </w:pPr>
      <w:r>
        <w:t xml:space="preserve">Gir tolketjenester ytet som del av helsetjenester rett til sjablongmessig kompensasjon av merverdiavgift? </w:t>
      </w:r>
    </w:p>
    <w:p w:rsidR="00450168" w:rsidRDefault="00450168" w:rsidP="00450168">
      <w:r>
        <w:t xml:space="preserve">Nei. Tolketjenester knyttet til behandling ytet sammen med ytelse av helsetjenester gir ikke rett til sjablongmessig merverdiavgift. Dette fordi en legger til grunn at det er svært lite merverdiavgift knyttet til </w:t>
      </w:r>
      <w:r w:rsidR="00775375">
        <w:t>tolketjenester</w:t>
      </w:r>
      <w:r>
        <w:t xml:space="preserve">. </w:t>
      </w:r>
    </w:p>
    <w:p w:rsidR="0042606E" w:rsidRDefault="0042606E" w:rsidP="0042606E">
      <w:pPr>
        <w:pStyle w:val="Overskrift2"/>
      </w:pPr>
      <w:r>
        <w:lastRenderedPageBreak/>
        <w:t xml:space="preserve">Får vi kompensasjon ved kjøp av biologisk materiale? </w:t>
      </w:r>
    </w:p>
    <w:p w:rsidR="0042606E" w:rsidRDefault="0042606E" w:rsidP="0042606E">
      <w:r>
        <w:t xml:space="preserve">Nei. Omsetning av menneskeorganer, blod og lignende til sykehus eller medisinske laboratorier for bruk, undersøkelser eller kontroll er fritatt for merverdiavgift. Dette innebærer at det ikke skal være merverdiavgift på fakturaen og det er dermed ingen avgift å kreve kompensert. </w:t>
      </w:r>
    </w:p>
    <w:p w:rsidR="0042606E" w:rsidRDefault="0042606E" w:rsidP="0042606E">
      <w:r>
        <w:t xml:space="preserve">Skulle det likevel være beregnet merverdiavgift på slikt kjøp, vil en få kompensert denne som ordinært fradrag basert på spesifikasjon </w:t>
      </w:r>
      <w:r w:rsidR="00C965ED">
        <w:t xml:space="preserve">på faktura. </w:t>
      </w:r>
    </w:p>
    <w:p w:rsidR="00C965ED" w:rsidRDefault="00C965ED" w:rsidP="00C965ED">
      <w:pPr>
        <w:pStyle w:val="Overskrift2"/>
      </w:pPr>
      <w:r>
        <w:t xml:space="preserve">Gis det kompensasjon av merverdiavgift for sosiale kostnader? </w:t>
      </w:r>
    </w:p>
    <w:p w:rsidR="00C965ED" w:rsidRDefault="00C965ED" w:rsidP="00C965ED">
      <w:r>
        <w:t xml:space="preserve">Ja. Her er det forskjell mellom merverdiavgiftslovens bestemmelser og reglene for merverdiavgiftskompensasjon. </w:t>
      </w:r>
      <w:r w:rsidR="004A2927">
        <w:t xml:space="preserve">Dette innebærer for eksempel at utgifter i forbindelse med julebord er kompensasjonsberettiget. </w:t>
      </w:r>
    </w:p>
    <w:p w:rsidR="00C965ED" w:rsidRDefault="00C965ED" w:rsidP="00C965ED">
      <w:pPr>
        <w:pStyle w:val="Overskrift2"/>
      </w:pPr>
      <w:r>
        <w:t xml:space="preserve">Hva betyr det at det kun kan ytes kompensasjon til den delen av virksomheten som ikke driver økonomisk aktivitet? </w:t>
      </w:r>
    </w:p>
    <w:p w:rsidR="00C965ED" w:rsidRDefault="00C965ED" w:rsidP="00C965ED">
      <w:r>
        <w:t xml:space="preserve">Aktivitet der en er i konkurranse med private er en typisk aktivitet som er unntatt av ordningen. Dette kan gjelde tjenester der en leverer inn anbud eller tilbud i konkurranse med andre tjenesteytere, oppdragsforskning, catering, kantinesalg og annen avgiftspliktig omsetning. Det meste av slik aktivitet vil være omfattet av ordinær avgiftsplikt, med tilhørende fradragsrett. </w:t>
      </w:r>
    </w:p>
    <w:p w:rsidR="006D0715" w:rsidRDefault="00C965ED" w:rsidP="00C965ED">
      <w:r>
        <w:t>Aktivitet som ligger innenfor våre hovedoppgaver er ikke omfattet av dette unntaket.</w:t>
      </w:r>
      <w:bookmarkStart w:id="0" w:name="_GoBack"/>
      <w:bookmarkEnd w:id="0"/>
    </w:p>
    <w:p w:rsidR="006D0715" w:rsidRDefault="006D0715" w:rsidP="006D0715">
      <w:pPr>
        <w:pStyle w:val="Overskrift2"/>
      </w:pPr>
      <w:r>
        <w:t>Hvilke kostnader knyttet til elektronisk kommunikasjon (bredbånd og mobil) gis det kompensasjon for?</w:t>
      </w:r>
    </w:p>
    <w:p w:rsidR="006D0715" w:rsidRDefault="006D0715" w:rsidP="006D0715">
      <w:pPr>
        <w:ind w:left="720" w:hanging="360"/>
      </w:pPr>
      <w:r>
        <w:t>-</w:t>
      </w:r>
      <w:r>
        <w:rPr>
          <w:rFonts w:ascii="Times New Roman" w:hAnsi="Times New Roman" w:cs="Times New Roman"/>
          <w:sz w:val="14"/>
          <w:szCs w:val="14"/>
        </w:rPr>
        <w:t xml:space="preserve">          </w:t>
      </w:r>
      <w:r>
        <w:t>Det gis kompensasjon for dekning av bredbånd til hjemmekontor, uavhengig av om betaling skjer av foretaket direkte eller gjennom refusjon</w:t>
      </w:r>
      <w:r>
        <w:t>.</w:t>
      </w:r>
    </w:p>
    <w:p w:rsidR="006D0715" w:rsidRDefault="006D0715" w:rsidP="006D0715">
      <w:pPr>
        <w:ind w:left="720" w:hanging="360"/>
      </w:pPr>
      <w:r>
        <w:t xml:space="preserve">-      Det gis kompensasjon for </w:t>
      </w:r>
      <w:proofErr w:type="spellStart"/>
      <w:r>
        <w:t>tjenestemessig</w:t>
      </w:r>
      <w:proofErr w:type="spellEnd"/>
      <w:r>
        <w:t xml:space="preserve"> og privat bruk av mobiltelefon (skal ikke gjøres forholdsmessig fradrag slik som for ordinær merverdiavgift)</w:t>
      </w:r>
      <w:r>
        <w:t>.</w:t>
      </w:r>
    </w:p>
    <w:p w:rsidR="006D0715" w:rsidRDefault="006D0715" w:rsidP="006D0715">
      <w:pPr>
        <w:ind w:left="720" w:hanging="360"/>
      </w:pPr>
      <w:r>
        <w:t>-      Faktura fra mobilselskap må på linje med andre kjøp fordeles i tråd med spesifisert mva. Blant annet er innholdstjenester uten merverdiavgift</w:t>
      </w:r>
      <w:r>
        <w:t>.</w:t>
      </w:r>
    </w:p>
    <w:p w:rsidR="006D0715" w:rsidRDefault="006D0715" w:rsidP="006D0715">
      <w:pPr>
        <w:pStyle w:val="Listeavsnitt"/>
        <w:ind w:hanging="360"/>
        <w:rPr>
          <w:color w:val="FF0000"/>
        </w:rPr>
      </w:pPr>
      <w:r>
        <w:t>-</w:t>
      </w:r>
      <w:r>
        <w:rPr>
          <w:rFonts w:ascii="Times New Roman" w:hAnsi="Times New Roman"/>
          <w:sz w:val="14"/>
          <w:szCs w:val="14"/>
        </w:rPr>
        <w:t xml:space="preserve">          </w:t>
      </w:r>
      <w:r>
        <w:t>Delvis dekning av kostnader til elektronisk kommunikasjon av den ansatte skal trekkes fra ved beregning av kompensasjon</w:t>
      </w:r>
      <w:r>
        <w:rPr>
          <w:color w:val="1F497D"/>
        </w:rPr>
        <w:t>.</w:t>
      </w:r>
    </w:p>
    <w:p w:rsidR="006D0715" w:rsidRDefault="006D0715" w:rsidP="006D0715">
      <w:pPr>
        <w:pStyle w:val="Listeavsnitt"/>
        <w:ind w:hanging="360"/>
      </w:pPr>
      <w:r>
        <w:t>-      Det gis ikke kompensasjon dersom</w:t>
      </w:r>
      <w:r>
        <w:rPr>
          <w:color w:val="FF0000"/>
        </w:rPr>
        <w:t xml:space="preserve"> </w:t>
      </w:r>
      <w:r>
        <w:rPr>
          <w:color w:val="FF0000"/>
        </w:rPr>
        <w:t xml:space="preserve"> </w:t>
      </w:r>
      <w:r>
        <w:t>dekningen av mobil og bredbånd skjer som fast beløp (lønn)</w:t>
      </w:r>
      <w:r>
        <w:t>.</w:t>
      </w:r>
    </w:p>
    <w:p w:rsidR="006D0715" w:rsidRPr="00C965ED" w:rsidRDefault="006D0715" w:rsidP="00C965ED"/>
    <w:sectPr w:rsidR="006D0715" w:rsidRPr="00C965E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5FC" w:rsidRDefault="00DD75FC" w:rsidP="00156B80">
      <w:pPr>
        <w:spacing w:after="0" w:line="240" w:lineRule="auto"/>
      </w:pPr>
      <w:r>
        <w:separator/>
      </w:r>
    </w:p>
  </w:endnote>
  <w:endnote w:type="continuationSeparator" w:id="0">
    <w:p w:rsidR="00DD75FC" w:rsidRDefault="00DD75FC" w:rsidP="00156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BE" w:rsidRDefault="00D579A7" w:rsidP="00F36EBE">
    <w:pPr>
      <w:pStyle w:val="Bunntekst"/>
      <w:pBdr>
        <w:top w:val="thinThickSmallGap" w:sz="24" w:space="1" w:color="2E74B5" w:themeColor="accent1" w:themeShade="BF"/>
      </w:pBdr>
      <w:rPr>
        <w:rFonts w:asciiTheme="majorHAnsi" w:eastAsiaTheme="majorEastAsia" w:hAnsiTheme="majorHAnsi" w:cstheme="majorBidi"/>
      </w:rPr>
    </w:pPr>
    <w:r>
      <w:rPr>
        <w:rFonts w:asciiTheme="majorHAnsi" w:eastAsiaTheme="majorEastAsia" w:hAnsiTheme="majorHAnsi" w:cstheme="majorBidi"/>
      </w:rPr>
      <w:t>Helsedirektoratet</w:t>
    </w:r>
    <w:r w:rsidR="00F36EBE">
      <w:rPr>
        <w:rFonts w:asciiTheme="majorHAnsi" w:eastAsiaTheme="majorEastAsia" w:hAnsiTheme="majorHAnsi" w:cstheme="majorBidi"/>
      </w:rPr>
      <w:ptab w:relativeTo="margin" w:alignment="right" w:leader="none"/>
    </w:r>
    <w:r w:rsidR="00F36EBE">
      <w:rPr>
        <w:rFonts w:asciiTheme="majorHAnsi" w:eastAsiaTheme="majorEastAsia" w:hAnsiTheme="majorHAnsi" w:cstheme="majorBidi"/>
      </w:rPr>
      <w:t xml:space="preserve">Side </w:t>
    </w:r>
    <w:r w:rsidR="00F36EBE">
      <w:rPr>
        <w:rFonts w:eastAsiaTheme="minorEastAsia"/>
      </w:rPr>
      <w:fldChar w:fldCharType="begin"/>
    </w:r>
    <w:r w:rsidR="00F36EBE">
      <w:instrText xml:space="preserve"> PAGE   \* MERGEFORMAT </w:instrText>
    </w:r>
    <w:r w:rsidR="00F36EBE">
      <w:rPr>
        <w:rFonts w:eastAsiaTheme="minorEastAsia"/>
      </w:rPr>
      <w:fldChar w:fldCharType="separate"/>
    </w:r>
    <w:r w:rsidR="006D0715" w:rsidRPr="006D0715">
      <w:rPr>
        <w:rFonts w:asciiTheme="majorHAnsi" w:eastAsiaTheme="majorEastAsia" w:hAnsiTheme="majorHAnsi" w:cstheme="majorBidi"/>
        <w:noProof/>
      </w:rPr>
      <w:t>3</w:t>
    </w:r>
    <w:r w:rsidR="00F36EBE">
      <w:rPr>
        <w:rFonts w:asciiTheme="majorHAnsi" w:eastAsiaTheme="majorEastAsia" w:hAnsiTheme="majorHAnsi" w:cstheme="majorBidi"/>
        <w:noProof/>
      </w:rPr>
      <w:fldChar w:fldCharType="end"/>
    </w:r>
    <w:r w:rsidR="00F36EBE">
      <w:rPr>
        <w:rFonts w:asciiTheme="majorHAnsi" w:eastAsiaTheme="majorEastAsia" w:hAnsiTheme="majorHAnsi" w:cstheme="majorBidi"/>
        <w:noProof/>
      </w:rPr>
      <w:t xml:space="preserve"> av </w:t>
    </w:r>
    <w:r w:rsidR="00F36EBE">
      <w:rPr>
        <w:rFonts w:eastAsiaTheme="minorEastAsia"/>
      </w:rPr>
      <w:fldChar w:fldCharType="begin"/>
    </w:r>
    <w:r w:rsidR="00F36EBE">
      <w:rPr>
        <w:rFonts w:eastAsiaTheme="minorEastAsia"/>
      </w:rPr>
      <w:instrText xml:space="preserve"> NUMPAGES  \* Arabic  \* MERGEFORMAT </w:instrText>
    </w:r>
    <w:r w:rsidR="00F36EBE">
      <w:rPr>
        <w:rFonts w:eastAsiaTheme="minorEastAsia"/>
      </w:rPr>
      <w:fldChar w:fldCharType="separate"/>
    </w:r>
    <w:r w:rsidR="006D0715">
      <w:rPr>
        <w:rFonts w:eastAsiaTheme="minorEastAsia"/>
        <w:noProof/>
      </w:rPr>
      <w:t>3</w:t>
    </w:r>
    <w:r w:rsidR="00F36EBE">
      <w:rPr>
        <w:rFonts w:eastAsiaTheme="minorEastAsia"/>
      </w:rPr>
      <w:fldChar w:fldCharType="end"/>
    </w:r>
    <w:r w:rsidR="00F36EBE">
      <w:rPr>
        <w:rFonts w:asciiTheme="majorHAnsi" w:eastAsiaTheme="majorEastAsia" w:hAnsiTheme="majorHAnsi" w:cstheme="majorBidi"/>
        <w:noProof/>
      </w:rPr>
      <w:t xml:space="preserve"> </w:t>
    </w:r>
  </w:p>
  <w:p w:rsidR="00F36EBE" w:rsidRDefault="00F36EBE">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5FC" w:rsidRDefault="00DD75FC" w:rsidP="00156B80">
      <w:pPr>
        <w:spacing w:after="0" w:line="240" w:lineRule="auto"/>
      </w:pPr>
      <w:r>
        <w:separator/>
      </w:r>
    </w:p>
  </w:footnote>
  <w:footnote w:type="continuationSeparator" w:id="0">
    <w:p w:rsidR="00DD75FC" w:rsidRDefault="00DD75FC" w:rsidP="00156B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B80" w:rsidRDefault="00156B80">
    <w:pPr>
      <w:pStyle w:val="Topptekst"/>
    </w:pPr>
    <w:r>
      <w:rPr>
        <w:noProof/>
        <w:sz w:val="2"/>
        <w:lang w:eastAsia="nb-NO"/>
      </w:rPr>
      <w:drawing>
        <wp:anchor distT="0" distB="0" distL="114300" distR="114300" simplePos="0" relativeHeight="251659264" behindDoc="1" locked="0" layoutInCell="1" allowOverlap="1" wp14:anchorId="1C8F1C07" wp14:editId="16267417">
          <wp:simplePos x="0" y="0"/>
          <wp:positionH relativeFrom="page">
            <wp:posOffset>571500</wp:posOffset>
          </wp:positionH>
          <wp:positionV relativeFrom="page">
            <wp:posOffset>428625</wp:posOffset>
          </wp:positionV>
          <wp:extent cx="2448895" cy="33337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orthvit.png"/>
                  <pic:cNvPicPr/>
                </pic:nvPicPr>
                <pic:blipFill>
                  <a:blip r:embed="rId1">
                    <a:duotone>
                      <a:schemeClr val="accent1">
                        <a:shade val="45000"/>
                        <a:satMod val="135000"/>
                      </a:schemeClr>
                      <a:prstClr val="white"/>
                    </a:duotone>
                    <a:extLst>
                      <a:ext uri="{BEBA8EAE-BF5A-486C-A8C5-ECC9F3942E4B}">
                        <a14:imgProps xmlns:a14="http://schemas.microsoft.com/office/drawing/2010/main">
                          <a14:imgLayer r:embed="rId2">
                            <a14:imgEffect>
                              <a14:colorTemperature colorTemp="675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448895" cy="333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83E68"/>
    <w:multiLevelType w:val="hybridMultilevel"/>
    <w:tmpl w:val="A59CE852"/>
    <w:lvl w:ilvl="0" w:tplc="1B644EDC">
      <w:start w:val="1"/>
      <w:numFmt w:val="bullet"/>
      <w:lvlText w:val=""/>
      <w:lvlJc w:val="left"/>
      <w:pPr>
        <w:tabs>
          <w:tab w:val="num" w:pos="720"/>
        </w:tabs>
        <w:ind w:left="720" w:hanging="360"/>
      </w:pPr>
      <w:rPr>
        <w:rFonts w:ascii="Wingdings 2" w:hAnsi="Wingdings 2" w:hint="default"/>
      </w:rPr>
    </w:lvl>
    <w:lvl w:ilvl="1" w:tplc="B8726442">
      <w:start w:val="587"/>
      <w:numFmt w:val="bullet"/>
      <w:lvlText w:val=""/>
      <w:lvlJc w:val="left"/>
      <w:pPr>
        <w:tabs>
          <w:tab w:val="num" w:pos="1440"/>
        </w:tabs>
        <w:ind w:left="1440" w:hanging="360"/>
      </w:pPr>
      <w:rPr>
        <w:rFonts w:ascii="Wingdings 2" w:hAnsi="Wingdings 2" w:hint="default"/>
      </w:rPr>
    </w:lvl>
    <w:lvl w:ilvl="2" w:tplc="C2AE0752" w:tentative="1">
      <w:start w:val="1"/>
      <w:numFmt w:val="bullet"/>
      <w:lvlText w:val=""/>
      <w:lvlJc w:val="left"/>
      <w:pPr>
        <w:tabs>
          <w:tab w:val="num" w:pos="2160"/>
        </w:tabs>
        <w:ind w:left="2160" w:hanging="360"/>
      </w:pPr>
      <w:rPr>
        <w:rFonts w:ascii="Wingdings 2" w:hAnsi="Wingdings 2" w:hint="default"/>
      </w:rPr>
    </w:lvl>
    <w:lvl w:ilvl="3" w:tplc="29F02F12" w:tentative="1">
      <w:start w:val="1"/>
      <w:numFmt w:val="bullet"/>
      <w:lvlText w:val=""/>
      <w:lvlJc w:val="left"/>
      <w:pPr>
        <w:tabs>
          <w:tab w:val="num" w:pos="2880"/>
        </w:tabs>
        <w:ind w:left="2880" w:hanging="360"/>
      </w:pPr>
      <w:rPr>
        <w:rFonts w:ascii="Wingdings 2" w:hAnsi="Wingdings 2" w:hint="default"/>
      </w:rPr>
    </w:lvl>
    <w:lvl w:ilvl="4" w:tplc="34063BF2" w:tentative="1">
      <w:start w:val="1"/>
      <w:numFmt w:val="bullet"/>
      <w:lvlText w:val=""/>
      <w:lvlJc w:val="left"/>
      <w:pPr>
        <w:tabs>
          <w:tab w:val="num" w:pos="3600"/>
        </w:tabs>
        <w:ind w:left="3600" w:hanging="360"/>
      </w:pPr>
      <w:rPr>
        <w:rFonts w:ascii="Wingdings 2" w:hAnsi="Wingdings 2" w:hint="default"/>
      </w:rPr>
    </w:lvl>
    <w:lvl w:ilvl="5" w:tplc="06BEF1AC" w:tentative="1">
      <w:start w:val="1"/>
      <w:numFmt w:val="bullet"/>
      <w:lvlText w:val=""/>
      <w:lvlJc w:val="left"/>
      <w:pPr>
        <w:tabs>
          <w:tab w:val="num" w:pos="4320"/>
        </w:tabs>
        <w:ind w:left="4320" w:hanging="360"/>
      </w:pPr>
      <w:rPr>
        <w:rFonts w:ascii="Wingdings 2" w:hAnsi="Wingdings 2" w:hint="default"/>
      </w:rPr>
    </w:lvl>
    <w:lvl w:ilvl="6" w:tplc="DEFE784A" w:tentative="1">
      <w:start w:val="1"/>
      <w:numFmt w:val="bullet"/>
      <w:lvlText w:val=""/>
      <w:lvlJc w:val="left"/>
      <w:pPr>
        <w:tabs>
          <w:tab w:val="num" w:pos="5040"/>
        </w:tabs>
        <w:ind w:left="5040" w:hanging="360"/>
      </w:pPr>
      <w:rPr>
        <w:rFonts w:ascii="Wingdings 2" w:hAnsi="Wingdings 2" w:hint="default"/>
      </w:rPr>
    </w:lvl>
    <w:lvl w:ilvl="7" w:tplc="32703D8E" w:tentative="1">
      <w:start w:val="1"/>
      <w:numFmt w:val="bullet"/>
      <w:lvlText w:val=""/>
      <w:lvlJc w:val="left"/>
      <w:pPr>
        <w:tabs>
          <w:tab w:val="num" w:pos="5760"/>
        </w:tabs>
        <w:ind w:left="5760" w:hanging="360"/>
      </w:pPr>
      <w:rPr>
        <w:rFonts w:ascii="Wingdings 2" w:hAnsi="Wingdings 2" w:hint="default"/>
      </w:rPr>
    </w:lvl>
    <w:lvl w:ilvl="8" w:tplc="C3B0EAD6" w:tentative="1">
      <w:start w:val="1"/>
      <w:numFmt w:val="bullet"/>
      <w:lvlText w:val=""/>
      <w:lvlJc w:val="left"/>
      <w:pPr>
        <w:tabs>
          <w:tab w:val="num" w:pos="6480"/>
        </w:tabs>
        <w:ind w:left="6480" w:hanging="360"/>
      </w:pPr>
      <w:rPr>
        <w:rFonts w:ascii="Wingdings 2" w:hAnsi="Wingdings 2" w:hint="default"/>
      </w:rPr>
    </w:lvl>
  </w:abstractNum>
  <w:abstractNum w:abstractNumId="1">
    <w:nsid w:val="38E146B9"/>
    <w:multiLevelType w:val="hybridMultilevel"/>
    <w:tmpl w:val="DD56C3F0"/>
    <w:lvl w:ilvl="0" w:tplc="73A6282A">
      <w:start w:val="1"/>
      <w:numFmt w:val="bullet"/>
      <w:lvlText w:val=""/>
      <w:lvlJc w:val="left"/>
      <w:pPr>
        <w:tabs>
          <w:tab w:val="num" w:pos="720"/>
        </w:tabs>
        <w:ind w:left="720" w:hanging="360"/>
      </w:pPr>
      <w:rPr>
        <w:rFonts w:ascii="Wingdings 2" w:hAnsi="Wingdings 2" w:hint="default"/>
      </w:rPr>
    </w:lvl>
    <w:lvl w:ilvl="1" w:tplc="5D46B9F8">
      <w:start w:val="1"/>
      <w:numFmt w:val="bullet"/>
      <w:lvlText w:val=""/>
      <w:lvlJc w:val="left"/>
      <w:pPr>
        <w:tabs>
          <w:tab w:val="num" w:pos="1440"/>
        </w:tabs>
        <w:ind w:left="1440" w:hanging="360"/>
      </w:pPr>
      <w:rPr>
        <w:rFonts w:ascii="Wingdings 2" w:hAnsi="Wingdings 2" w:hint="default"/>
      </w:rPr>
    </w:lvl>
    <w:lvl w:ilvl="2" w:tplc="0D42FE04" w:tentative="1">
      <w:start w:val="1"/>
      <w:numFmt w:val="bullet"/>
      <w:lvlText w:val=""/>
      <w:lvlJc w:val="left"/>
      <w:pPr>
        <w:tabs>
          <w:tab w:val="num" w:pos="2160"/>
        </w:tabs>
        <w:ind w:left="2160" w:hanging="360"/>
      </w:pPr>
      <w:rPr>
        <w:rFonts w:ascii="Wingdings 2" w:hAnsi="Wingdings 2" w:hint="default"/>
      </w:rPr>
    </w:lvl>
    <w:lvl w:ilvl="3" w:tplc="8C86992E" w:tentative="1">
      <w:start w:val="1"/>
      <w:numFmt w:val="bullet"/>
      <w:lvlText w:val=""/>
      <w:lvlJc w:val="left"/>
      <w:pPr>
        <w:tabs>
          <w:tab w:val="num" w:pos="2880"/>
        </w:tabs>
        <w:ind w:left="2880" w:hanging="360"/>
      </w:pPr>
      <w:rPr>
        <w:rFonts w:ascii="Wingdings 2" w:hAnsi="Wingdings 2" w:hint="default"/>
      </w:rPr>
    </w:lvl>
    <w:lvl w:ilvl="4" w:tplc="16122504" w:tentative="1">
      <w:start w:val="1"/>
      <w:numFmt w:val="bullet"/>
      <w:lvlText w:val=""/>
      <w:lvlJc w:val="left"/>
      <w:pPr>
        <w:tabs>
          <w:tab w:val="num" w:pos="3600"/>
        </w:tabs>
        <w:ind w:left="3600" w:hanging="360"/>
      </w:pPr>
      <w:rPr>
        <w:rFonts w:ascii="Wingdings 2" w:hAnsi="Wingdings 2" w:hint="default"/>
      </w:rPr>
    </w:lvl>
    <w:lvl w:ilvl="5" w:tplc="695C8BF4" w:tentative="1">
      <w:start w:val="1"/>
      <w:numFmt w:val="bullet"/>
      <w:lvlText w:val=""/>
      <w:lvlJc w:val="left"/>
      <w:pPr>
        <w:tabs>
          <w:tab w:val="num" w:pos="4320"/>
        </w:tabs>
        <w:ind w:left="4320" w:hanging="360"/>
      </w:pPr>
      <w:rPr>
        <w:rFonts w:ascii="Wingdings 2" w:hAnsi="Wingdings 2" w:hint="default"/>
      </w:rPr>
    </w:lvl>
    <w:lvl w:ilvl="6" w:tplc="9556904A" w:tentative="1">
      <w:start w:val="1"/>
      <w:numFmt w:val="bullet"/>
      <w:lvlText w:val=""/>
      <w:lvlJc w:val="left"/>
      <w:pPr>
        <w:tabs>
          <w:tab w:val="num" w:pos="5040"/>
        </w:tabs>
        <w:ind w:left="5040" w:hanging="360"/>
      </w:pPr>
      <w:rPr>
        <w:rFonts w:ascii="Wingdings 2" w:hAnsi="Wingdings 2" w:hint="default"/>
      </w:rPr>
    </w:lvl>
    <w:lvl w:ilvl="7" w:tplc="CC185494" w:tentative="1">
      <w:start w:val="1"/>
      <w:numFmt w:val="bullet"/>
      <w:lvlText w:val=""/>
      <w:lvlJc w:val="left"/>
      <w:pPr>
        <w:tabs>
          <w:tab w:val="num" w:pos="5760"/>
        </w:tabs>
        <w:ind w:left="5760" w:hanging="360"/>
      </w:pPr>
      <w:rPr>
        <w:rFonts w:ascii="Wingdings 2" w:hAnsi="Wingdings 2" w:hint="default"/>
      </w:rPr>
    </w:lvl>
    <w:lvl w:ilvl="8" w:tplc="166EFE0E" w:tentative="1">
      <w:start w:val="1"/>
      <w:numFmt w:val="bullet"/>
      <w:lvlText w:val=""/>
      <w:lvlJc w:val="left"/>
      <w:pPr>
        <w:tabs>
          <w:tab w:val="num" w:pos="6480"/>
        </w:tabs>
        <w:ind w:left="6480" w:hanging="360"/>
      </w:pPr>
      <w:rPr>
        <w:rFonts w:ascii="Wingdings 2" w:hAnsi="Wingdings 2" w:hint="default"/>
      </w:rPr>
    </w:lvl>
  </w:abstractNum>
  <w:abstractNum w:abstractNumId="2">
    <w:nsid w:val="43C40A7F"/>
    <w:multiLevelType w:val="hybridMultilevel"/>
    <w:tmpl w:val="CB286094"/>
    <w:lvl w:ilvl="0" w:tplc="83D6255A">
      <w:start w:val="1"/>
      <w:numFmt w:val="bullet"/>
      <w:lvlText w:val=""/>
      <w:lvlJc w:val="left"/>
      <w:pPr>
        <w:tabs>
          <w:tab w:val="num" w:pos="720"/>
        </w:tabs>
        <w:ind w:left="720" w:hanging="360"/>
      </w:pPr>
      <w:rPr>
        <w:rFonts w:ascii="Wingdings 2" w:hAnsi="Wingdings 2" w:hint="default"/>
      </w:rPr>
    </w:lvl>
    <w:lvl w:ilvl="1" w:tplc="6CD49F9E" w:tentative="1">
      <w:start w:val="1"/>
      <w:numFmt w:val="bullet"/>
      <w:lvlText w:val=""/>
      <w:lvlJc w:val="left"/>
      <w:pPr>
        <w:tabs>
          <w:tab w:val="num" w:pos="1440"/>
        </w:tabs>
        <w:ind w:left="1440" w:hanging="360"/>
      </w:pPr>
      <w:rPr>
        <w:rFonts w:ascii="Wingdings 2" w:hAnsi="Wingdings 2" w:hint="default"/>
      </w:rPr>
    </w:lvl>
    <w:lvl w:ilvl="2" w:tplc="E28CC598" w:tentative="1">
      <w:start w:val="1"/>
      <w:numFmt w:val="bullet"/>
      <w:lvlText w:val=""/>
      <w:lvlJc w:val="left"/>
      <w:pPr>
        <w:tabs>
          <w:tab w:val="num" w:pos="2160"/>
        </w:tabs>
        <w:ind w:left="2160" w:hanging="360"/>
      </w:pPr>
      <w:rPr>
        <w:rFonts w:ascii="Wingdings 2" w:hAnsi="Wingdings 2" w:hint="default"/>
      </w:rPr>
    </w:lvl>
    <w:lvl w:ilvl="3" w:tplc="12F81E6A" w:tentative="1">
      <w:start w:val="1"/>
      <w:numFmt w:val="bullet"/>
      <w:lvlText w:val=""/>
      <w:lvlJc w:val="left"/>
      <w:pPr>
        <w:tabs>
          <w:tab w:val="num" w:pos="2880"/>
        </w:tabs>
        <w:ind w:left="2880" w:hanging="360"/>
      </w:pPr>
      <w:rPr>
        <w:rFonts w:ascii="Wingdings 2" w:hAnsi="Wingdings 2" w:hint="default"/>
      </w:rPr>
    </w:lvl>
    <w:lvl w:ilvl="4" w:tplc="12D609DA" w:tentative="1">
      <w:start w:val="1"/>
      <w:numFmt w:val="bullet"/>
      <w:lvlText w:val=""/>
      <w:lvlJc w:val="left"/>
      <w:pPr>
        <w:tabs>
          <w:tab w:val="num" w:pos="3600"/>
        </w:tabs>
        <w:ind w:left="3600" w:hanging="360"/>
      </w:pPr>
      <w:rPr>
        <w:rFonts w:ascii="Wingdings 2" w:hAnsi="Wingdings 2" w:hint="default"/>
      </w:rPr>
    </w:lvl>
    <w:lvl w:ilvl="5" w:tplc="73169D7A" w:tentative="1">
      <w:start w:val="1"/>
      <w:numFmt w:val="bullet"/>
      <w:lvlText w:val=""/>
      <w:lvlJc w:val="left"/>
      <w:pPr>
        <w:tabs>
          <w:tab w:val="num" w:pos="4320"/>
        </w:tabs>
        <w:ind w:left="4320" w:hanging="360"/>
      </w:pPr>
      <w:rPr>
        <w:rFonts w:ascii="Wingdings 2" w:hAnsi="Wingdings 2" w:hint="default"/>
      </w:rPr>
    </w:lvl>
    <w:lvl w:ilvl="6" w:tplc="CCF8D816" w:tentative="1">
      <w:start w:val="1"/>
      <w:numFmt w:val="bullet"/>
      <w:lvlText w:val=""/>
      <w:lvlJc w:val="left"/>
      <w:pPr>
        <w:tabs>
          <w:tab w:val="num" w:pos="5040"/>
        </w:tabs>
        <w:ind w:left="5040" w:hanging="360"/>
      </w:pPr>
      <w:rPr>
        <w:rFonts w:ascii="Wingdings 2" w:hAnsi="Wingdings 2" w:hint="default"/>
      </w:rPr>
    </w:lvl>
    <w:lvl w:ilvl="7" w:tplc="6C0A52FA" w:tentative="1">
      <w:start w:val="1"/>
      <w:numFmt w:val="bullet"/>
      <w:lvlText w:val=""/>
      <w:lvlJc w:val="left"/>
      <w:pPr>
        <w:tabs>
          <w:tab w:val="num" w:pos="5760"/>
        </w:tabs>
        <w:ind w:left="5760" w:hanging="360"/>
      </w:pPr>
      <w:rPr>
        <w:rFonts w:ascii="Wingdings 2" w:hAnsi="Wingdings 2" w:hint="default"/>
      </w:rPr>
    </w:lvl>
    <w:lvl w:ilvl="8" w:tplc="D96A3538" w:tentative="1">
      <w:start w:val="1"/>
      <w:numFmt w:val="bullet"/>
      <w:lvlText w:val=""/>
      <w:lvlJc w:val="left"/>
      <w:pPr>
        <w:tabs>
          <w:tab w:val="num" w:pos="6480"/>
        </w:tabs>
        <w:ind w:left="6480" w:hanging="360"/>
      </w:pPr>
      <w:rPr>
        <w:rFonts w:ascii="Wingdings 2" w:hAnsi="Wingdings 2" w:hint="default"/>
      </w:rPr>
    </w:lvl>
  </w:abstractNum>
  <w:abstractNum w:abstractNumId="3">
    <w:nsid w:val="49E63D95"/>
    <w:multiLevelType w:val="hybridMultilevel"/>
    <w:tmpl w:val="886E672C"/>
    <w:lvl w:ilvl="0" w:tplc="7AE88A66">
      <w:start w:val="1"/>
      <w:numFmt w:val="bullet"/>
      <w:lvlText w:val=""/>
      <w:lvlJc w:val="left"/>
      <w:pPr>
        <w:tabs>
          <w:tab w:val="num" w:pos="720"/>
        </w:tabs>
        <w:ind w:left="720" w:hanging="360"/>
      </w:pPr>
      <w:rPr>
        <w:rFonts w:ascii="Wingdings 2" w:hAnsi="Wingdings 2" w:hint="default"/>
      </w:rPr>
    </w:lvl>
    <w:lvl w:ilvl="1" w:tplc="CDD059D0" w:tentative="1">
      <w:start w:val="1"/>
      <w:numFmt w:val="bullet"/>
      <w:lvlText w:val=""/>
      <w:lvlJc w:val="left"/>
      <w:pPr>
        <w:tabs>
          <w:tab w:val="num" w:pos="1440"/>
        </w:tabs>
        <w:ind w:left="1440" w:hanging="360"/>
      </w:pPr>
      <w:rPr>
        <w:rFonts w:ascii="Wingdings 2" w:hAnsi="Wingdings 2" w:hint="default"/>
      </w:rPr>
    </w:lvl>
    <w:lvl w:ilvl="2" w:tplc="E3CA7A92" w:tentative="1">
      <w:start w:val="1"/>
      <w:numFmt w:val="bullet"/>
      <w:lvlText w:val=""/>
      <w:lvlJc w:val="left"/>
      <w:pPr>
        <w:tabs>
          <w:tab w:val="num" w:pos="2160"/>
        </w:tabs>
        <w:ind w:left="2160" w:hanging="360"/>
      </w:pPr>
      <w:rPr>
        <w:rFonts w:ascii="Wingdings 2" w:hAnsi="Wingdings 2" w:hint="default"/>
      </w:rPr>
    </w:lvl>
    <w:lvl w:ilvl="3" w:tplc="9572B98A" w:tentative="1">
      <w:start w:val="1"/>
      <w:numFmt w:val="bullet"/>
      <w:lvlText w:val=""/>
      <w:lvlJc w:val="left"/>
      <w:pPr>
        <w:tabs>
          <w:tab w:val="num" w:pos="2880"/>
        </w:tabs>
        <w:ind w:left="2880" w:hanging="360"/>
      </w:pPr>
      <w:rPr>
        <w:rFonts w:ascii="Wingdings 2" w:hAnsi="Wingdings 2" w:hint="default"/>
      </w:rPr>
    </w:lvl>
    <w:lvl w:ilvl="4" w:tplc="53983E30" w:tentative="1">
      <w:start w:val="1"/>
      <w:numFmt w:val="bullet"/>
      <w:lvlText w:val=""/>
      <w:lvlJc w:val="left"/>
      <w:pPr>
        <w:tabs>
          <w:tab w:val="num" w:pos="3600"/>
        </w:tabs>
        <w:ind w:left="3600" w:hanging="360"/>
      </w:pPr>
      <w:rPr>
        <w:rFonts w:ascii="Wingdings 2" w:hAnsi="Wingdings 2" w:hint="default"/>
      </w:rPr>
    </w:lvl>
    <w:lvl w:ilvl="5" w:tplc="1B42F790" w:tentative="1">
      <w:start w:val="1"/>
      <w:numFmt w:val="bullet"/>
      <w:lvlText w:val=""/>
      <w:lvlJc w:val="left"/>
      <w:pPr>
        <w:tabs>
          <w:tab w:val="num" w:pos="4320"/>
        </w:tabs>
        <w:ind w:left="4320" w:hanging="360"/>
      </w:pPr>
      <w:rPr>
        <w:rFonts w:ascii="Wingdings 2" w:hAnsi="Wingdings 2" w:hint="default"/>
      </w:rPr>
    </w:lvl>
    <w:lvl w:ilvl="6" w:tplc="E640D356" w:tentative="1">
      <w:start w:val="1"/>
      <w:numFmt w:val="bullet"/>
      <w:lvlText w:val=""/>
      <w:lvlJc w:val="left"/>
      <w:pPr>
        <w:tabs>
          <w:tab w:val="num" w:pos="5040"/>
        </w:tabs>
        <w:ind w:left="5040" w:hanging="360"/>
      </w:pPr>
      <w:rPr>
        <w:rFonts w:ascii="Wingdings 2" w:hAnsi="Wingdings 2" w:hint="default"/>
      </w:rPr>
    </w:lvl>
    <w:lvl w:ilvl="7" w:tplc="2FBCC3BE" w:tentative="1">
      <w:start w:val="1"/>
      <w:numFmt w:val="bullet"/>
      <w:lvlText w:val=""/>
      <w:lvlJc w:val="left"/>
      <w:pPr>
        <w:tabs>
          <w:tab w:val="num" w:pos="5760"/>
        </w:tabs>
        <w:ind w:left="5760" w:hanging="360"/>
      </w:pPr>
      <w:rPr>
        <w:rFonts w:ascii="Wingdings 2" w:hAnsi="Wingdings 2" w:hint="default"/>
      </w:rPr>
    </w:lvl>
    <w:lvl w:ilvl="8" w:tplc="C8089546" w:tentative="1">
      <w:start w:val="1"/>
      <w:numFmt w:val="bullet"/>
      <w:lvlText w:val=""/>
      <w:lvlJc w:val="left"/>
      <w:pPr>
        <w:tabs>
          <w:tab w:val="num" w:pos="6480"/>
        </w:tabs>
        <w:ind w:left="6480" w:hanging="360"/>
      </w:pPr>
      <w:rPr>
        <w:rFonts w:ascii="Wingdings 2" w:hAnsi="Wingdings 2" w:hint="default"/>
      </w:rPr>
    </w:lvl>
  </w:abstractNum>
  <w:abstractNum w:abstractNumId="4">
    <w:nsid w:val="4C650FD6"/>
    <w:multiLevelType w:val="hybridMultilevel"/>
    <w:tmpl w:val="792E6E7C"/>
    <w:lvl w:ilvl="0" w:tplc="ECECB104">
      <w:start w:val="1"/>
      <w:numFmt w:val="bullet"/>
      <w:lvlText w:val=""/>
      <w:lvlJc w:val="left"/>
      <w:pPr>
        <w:tabs>
          <w:tab w:val="num" w:pos="720"/>
        </w:tabs>
        <w:ind w:left="720" w:hanging="360"/>
      </w:pPr>
      <w:rPr>
        <w:rFonts w:ascii="Wingdings 2" w:hAnsi="Wingdings 2" w:hint="default"/>
      </w:rPr>
    </w:lvl>
    <w:lvl w:ilvl="1" w:tplc="937461A4">
      <w:start w:val="1"/>
      <w:numFmt w:val="bullet"/>
      <w:lvlText w:val=""/>
      <w:lvlJc w:val="left"/>
      <w:pPr>
        <w:tabs>
          <w:tab w:val="num" w:pos="1440"/>
        </w:tabs>
        <w:ind w:left="1440" w:hanging="360"/>
      </w:pPr>
      <w:rPr>
        <w:rFonts w:ascii="Wingdings 2" w:hAnsi="Wingdings 2" w:hint="default"/>
      </w:rPr>
    </w:lvl>
    <w:lvl w:ilvl="2" w:tplc="5198C1E4" w:tentative="1">
      <w:start w:val="1"/>
      <w:numFmt w:val="bullet"/>
      <w:lvlText w:val=""/>
      <w:lvlJc w:val="left"/>
      <w:pPr>
        <w:tabs>
          <w:tab w:val="num" w:pos="2160"/>
        </w:tabs>
        <w:ind w:left="2160" w:hanging="360"/>
      </w:pPr>
      <w:rPr>
        <w:rFonts w:ascii="Wingdings 2" w:hAnsi="Wingdings 2" w:hint="default"/>
      </w:rPr>
    </w:lvl>
    <w:lvl w:ilvl="3" w:tplc="E37A6A2E" w:tentative="1">
      <w:start w:val="1"/>
      <w:numFmt w:val="bullet"/>
      <w:lvlText w:val=""/>
      <w:lvlJc w:val="left"/>
      <w:pPr>
        <w:tabs>
          <w:tab w:val="num" w:pos="2880"/>
        </w:tabs>
        <w:ind w:left="2880" w:hanging="360"/>
      </w:pPr>
      <w:rPr>
        <w:rFonts w:ascii="Wingdings 2" w:hAnsi="Wingdings 2" w:hint="default"/>
      </w:rPr>
    </w:lvl>
    <w:lvl w:ilvl="4" w:tplc="C31A5C24" w:tentative="1">
      <w:start w:val="1"/>
      <w:numFmt w:val="bullet"/>
      <w:lvlText w:val=""/>
      <w:lvlJc w:val="left"/>
      <w:pPr>
        <w:tabs>
          <w:tab w:val="num" w:pos="3600"/>
        </w:tabs>
        <w:ind w:left="3600" w:hanging="360"/>
      </w:pPr>
      <w:rPr>
        <w:rFonts w:ascii="Wingdings 2" w:hAnsi="Wingdings 2" w:hint="default"/>
      </w:rPr>
    </w:lvl>
    <w:lvl w:ilvl="5" w:tplc="4B06A102" w:tentative="1">
      <w:start w:val="1"/>
      <w:numFmt w:val="bullet"/>
      <w:lvlText w:val=""/>
      <w:lvlJc w:val="left"/>
      <w:pPr>
        <w:tabs>
          <w:tab w:val="num" w:pos="4320"/>
        </w:tabs>
        <w:ind w:left="4320" w:hanging="360"/>
      </w:pPr>
      <w:rPr>
        <w:rFonts w:ascii="Wingdings 2" w:hAnsi="Wingdings 2" w:hint="default"/>
      </w:rPr>
    </w:lvl>
    <w:lvl w:ilvl="6" w:tplc="4C9EA606" w:tentative="1">
      <w:start w:val="1"/>
      <w:numFmt w:val="bullet"/>
      <w:lvlText w:val=""/>
      <w:lvlJc w:val="left"/>
      <w:pPr>
        <w:tabs>
          <w:tab w:val="num" w:pos="5040"/>
        </w:tabs>
        <w:ind w:left="5040" w:hanging="360"/>
      </w:pPr>
      <w:rPr>
        <w:rFonts w:ascii="Wingdings 2" w:hAnsi="Wingdings 2" w:hint="default"/>
      </w:rPr>
    </w:lvl>
    <w:lvl w:ilvl="7" w:tplc="C56EBA50" w:tentative="1">
      <w:start w:val="1"/>
      <w:numFmt w:val="bullet"/>
      <w:lvlText w:val=""/>
      <w:lvlJc w:val="left"/>
      <w:pPr>
        <w:tabs>
          <w:tab w:val="num" w:pos="5760"/>
        </w:tabs>
        <w:ind w:left="5760" w:hanging="360"/>
      </w:pPr>
      <w:rPr>
        <w:rFonts w:ascii="Wingdings 2" w:hAnsi="Wingdings 2" w:hint="default"/>
      </w:rPr>
    </w:lvl>
    <w:lvl w:ilvl="8" w:tplc="FE269680" w:tentative="1">
      <w:start w:val="1"/>
      <w:numFmt w:val="bullet"/>
      <w:lvlText w:val=""/>
      <w:lvlJc w:val="left"/>
      <w:pPr>
        <w:tabs>
          <w:tab w:val="num" w:pos="6480"/>
        </w:tabs>
        <w:ind w:left="6480" w:hanging="360"/>
      </w:pPr>
      <w:rPr>
        <w:rFonts w:ascii="Wingdings 2" w:hAnsi="Wingdings 2" w:hint="default"/>
      </w:rPr>
    </w:lvl>
  </w:abstractNum>
  <w:abstractNum w:abstractNumId="5">
    <w:nsid w:val="6AA87206"/>
    <w:multiLevelType w:val="hybridMultilevel"/>
    <w:tmpl w:val="2020F41C"/>
    <w:lvl w:ilvl="0" w:tplc="7F58BA72">
      <w:numFmt w:val="bullet"/>
      <w:lvlText w:val="-"/>
      <w:lvlJc w:val="left"/>
      <w:pPr>
        <w:ind w:left="720" w:hanging="360"/>
      </w:pPr>
      <w:rPr>
        <w:rFonts w:ascii="Calibri" w:eastAsia="Calibri"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FF0"/>
    <w:rsid w:val="00015B9A"/>
    <w:rsid w:val="00025386"/>
    <w:rsid w:val="00063E5B"/>
    <w:rsid w:val="0009641A"/>
    <w:rsid w:val="000B19AB"/>
    <w:rsid w:val="00142091"/>
    <w:rsid w:val="00156B80"/>
    <w:rsid w:val="00195B27"/>
    <w:rsid w:val="001C605A"/>
    <w:rsid w:val="001F1DC9"/>
    <w:rsid w:val="002015C2"/>
    <w:rsid w:val="002B3D15"/>
    <w:rsid w:val="002B541B"/>
    <w:rsid w:val="002C2401"/>
    <w:rsid w:val="002D50E9"/>
    <w:rsid w:val="002E5998"/>
    <w:rsid w:val="003118CD"/>
    <w:rsid w:val="00350A91"/>
    <w:rsid w:val="00385055"/>
    <w:rsid w:val="003F4AA6"/>
    <w:rsid w:val="00414AF4"/>
    <w:rsid w:val="0042606E"/>
    <w:rsid w:val="00450168"/>
    <w:rsid w:val="004A2927"/>
    <w:rsid w:val="004D3527"/>
    <w:rsid w:val="004F1736"/>
    <w:rsid w:val="00507919"/>
    <w:rsid w:val="005550EF"/>
    <w:rsid w:val="00555CE4"/>
    <w:rsid w:val="00561D4B"/>
    <w:rsid w:val="00582797"/>
    <w:rsid w:val="005B771C"/>
    <w:rsid w:val="005C0518"/>
    <w:rsid w:val="005E4A97"/>
    <w:rsid w:val="005E609E"/>
    <w:rsid w:val="006D0715"/>
    <w:rsid w:val="00775375"/>
    <w:rsid w:val="007A290D"/>
    <w:rsid w:val="00884535"/>
    <w:rsid w:val="00955FF0"/>
    <w:rsid w:val="00A936EB"/>
    <w:rsid w:val="00AD4A7A"/>
    <w:rsid w:val="00AE221E"/>
    <w:rsid w:val="00B01B9A"/>
    <w:rsid w:val="00B41261"/>
    <w:rsid w:val="00B80BF8"/>
    <w:rsid w:val="00BB1101"/>
    <w:rsid w:val="00BB71E8"/>
    <w:rsid w:val="00BC00B7"/>
    <w:rsid w:val="00BC4FB7"/>
    <w:rsid w:val="00BC6D32"/>
    <w:rsid w:val="00C53248"/>
    <w:rsid w:val="00C965ED"/>
    <w:rsid w:val="00CD001F"/>
    <w:rsid w:val="00D579A7"/>
    <w:rsid w:val="00D85F29"/>
    <w:rsid w:val="00DD75FC"/>
    <w:rsid w:val="00DF7817"/>
    <w:rsid w:val="00E15D07"/>
    <w:rsid w:val="00F36EBE"/>
    <w:rsid w:val="00F460EF"/>
    <w:rsid w:val="00FC7A68"/>
    <w:rsid w:val="00FE43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BC6D3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unhideWhenUsed/>
    <w:qFormat/>
    <w:rsid w:val="005E4A9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555CE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55CE4"/>
    <w:rPr>
      <w:rFonts w:asciiTheme="majorHAnsi" w:eastAsiaTheme="majorEastAsia" w:hAnsiTheme="majorHAnsi" w:cstheme="majorBidi"/>
      <w:color w:val="323E4F" w:themeColor="text2" w:themeShade="BF"/>
      <w:spacing w:val="5"/>
      <w:kern w:val="28"/>
      <w:sz w:val="52"/>
      <w:szCs w:val="52"/>
    </w:rPr>
  </w:style>
  <w:style w:type="paragraph" w:styleId="Topptekst">
    <w:name w:val="header"/>
    <w:basedOn w:val="Normal"/>
    <w:link w:val="TopptekstTegn"/>
    <w:uiPriority w:val="99"/>
    <w:unhideWhenUsed/>
    <w:rsid w:val="00156B8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56B80"/>
  </w:style>
  <w:style w:type="paragraph" w:styleId="Bunntekst">
    <w:name w:val="footer"/>
    <w:basedOn w:val="Normal"/>
    <w:link w:val="BunntekstTegn"/>
    <w:uiPriority w:val="99"/>
    <w:unhideWhenUsed/>
    <w:rsid w:val="00156B8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56B80"/>
  </w:style>
  <w:style w:type="paragraph" w:styleId="Bobletekst">
    <w:name w:val="Balloon Text"/>
    <w:basedOn w:val="Normal"/>
    <w:link w:val="BobletekstTegn"/>
    <w:uiPriority w:val="99"/>
    <w:semiHidden/>
    <w:unhideWhenUsed/>
    <w:rsid w:val="00F36EB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36EBE"/>
    <w:rPr>
      <w:rFonts w:ascii="Tahoma" w:hAnsi="Tahoma" w:cs="Tahoma"/>
      <w:sz w:val="16"/>
      <w:szCs w:val="16"/>
    </w:rPr>
  </w:style>
  <w:style w:type="character" w:styleId="Plassholdertekst">
    <w:name w:val="Placeholder Text"/>
    <w:basedOn w:val="Standardskriftforavsnitt"/>
    <w:uiPriority w:val="99"/>
    <w:semiHidden/>
    <w:rsid w:val="004F1736"/>
    <w:rPr>
      <w:color w:val="808080"/>
    </w:rPr>
  </w:style>
  <w:style w:type="table" w:styleId="Tabellrutenett">
    <w:name w:val="Table Grid"/>
    <w:basedOn w:val="Vanligtabell"/>
    <w:uiPriority w:val="59"/>
    <w:rsid w:val="00CD0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CD001F"/>
    <w:pPr>
      <w:autoSpaceDE w:val="0"/>
      <w:autoSpaceDN w:val="0"/>
      <w:spacing w:after="0" w:line="240" w:lineRule="auto"/>
    </w:pPr>
    <w:rPr>
      <w:rFonts w:ascii="Calibri" w:hAnsi="Calibri" w:cs="Times New Roman"/>
      <w:color w:val="000000"/>
      <w:sz w:val="24"/>
      <w:szCs w:val="24"/>
    </w:rPr>
  </w:style>
  <w:style w:type="paragraph" w:styleId="Rentekst">
    <w:name w:val="Plain Text"/>
    <w:basedOn w:val="Normal"/>
    <w:link w:val="RentekstTegn"/>
    <w:uiPriority w:val="99"/>
    <w:semiHidden/>
    <w:unhideWhenUsed/>
    <w:rsid w:val="005B771C"/>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5B771C"/>
    <w:rPr>
      <w:rFonts w:ascii="Calibri" w:hAnsi="Calibri"/>
      <w:szCs w:val="21"/>
    </w:rPr>
  </w:style>
  <w:style w:type="paragraph" w:styleId="Listeavsnitt">
    <w:name w:val="List Paragraph"/>
    <w:basedOn w:val="Normal"/>
    <w:uiPriority w:val="34"/>
    <w:qFormat/>
    <w:rsid w:val="00414AF4"/>
    <w:pPr>
      <w:spacing w:after="0" w:line="240" w:lineRule="auto"/>
      <w:ind w:left="720"/>
    </w:pPr>
    <w:rPr>
      <w:rFonts w:ascii="Calibri" w:hAnsi="Calibri" w:cs="Times New Roman"/>
    </w:rPr>
  </w:style>
  <w:style w:type="character" w:customStyle="1" w:styleId="Overskrift2Tegn">
    <w:name w:val="Overskrift 2 Tegn"/>
    <w:basedOn w:val="Standardskriftforavsnitt"/>
    <w:link w:val="Overskrift2"/>
    <w:uiPriority w:val="9"/>
    <w:rsid w:val="005E4A97"/>
    <w:rPr>
      <w:rFonts w:asciiTheme="majorHAnsi" w:eastAsiaTheme="majorEastAsia" w:hAnsiTheme="majorHAnsi" w:cstheme="majorBidi"/>
      <w:b/>
      <w:bCs/>
      <w:color w:val="5B9BD5" w:themeColor="accent1"/>
      <w:sz w:val="26"/>
      <w:szCs w:val="26"/>
    </w:rPr>
  </w:style>
  <w:style w:type="character" w:customStyle="1" w:styleId="Overskrift1Tegn">
    <w:name w:val="Overskrift 1 Tegn"/>
    <w:basedOn w:val="Standardskriftforavsnitt"/>
    <w:link w:val="Overskrift1"/>
    <w:uiPriority w:val="9"/>
    <w:rsid w:val="00BC6D32"/>
    <w:rPr>
      <w:rFonts w:asciiTheme="majorHAnsi" w:eastAsiaTheme="majorEastAsia" w:hAnsiTheme="majorHAnsi" w:cstheme="majorBidi"/>
      <w:b/>
      <w:bCs/>
      <w:color w:val="2E74B5" w:themeColor="accent1" w:themeShade="BF"/>
      <w:sz w:val="28"/>
      <w:szCs w:val="28"/>
    </w:rPr>
  </w:style>
  <w:style w:type="character" w:styleId="Merknadsreferanse">
    <w:name w:val="annotation reference"/>
    <w:basedOn w:val="Standardskriftforavsnitt"/>
    <w:uiPriority w:val="99"/>
    <w:semiHidden/>
    <w:unhideWhenUsed/>
    <w:rsid w:val="00B41261"/>
    <w:rPr>
      <w:sz w:val="16"/>
      <w:szCs w:val="16"/>
    </w:rPr>
  </w:style>
  <w:style w:type="paragraph" w:styleId="Merknadstekst">
    <w:name w:val="annotation text"/>
    <w:basedOn w:val="Normal"/>
    <w:link w:val="MerknadstekstTegn"/>
    <w:uiPriority w:val="99"/>
    <w:semiHidden/>
    <w:unhideWhenUsed/>
    <w:rsid w:val="00B4126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B41261"/>
    <w:rPr>
      <w:sz w:val="20"/>
      <w:szCs w:val="20"/>
    </w:rPr>
  </w:style>
  <w:style w:type="paragraph" w:styleId="Kommentaremne">
    <w:name w:val="annotation subject"/>
    <w:basedOn w:val="Merknadstekst"/>
    <w:next w:val="Merknadstekst"/>
    <w:link w:val="KommentaremneTegn"/>
    <w:uiPriority w:val="99"/>
    <w:semiHidden/>
    <w:unhideWhenUsed/>
    <w:rsid w:val="00B41261"/>
    <w:rPr>
      <w:b/>
      <w:bCs/>
    </w:rPr>
  </w:style>
  <w:style w:type="character" w:customStyle="1" w:styleId="KommentaremneTegn">
    <w:name w:val="Kommentaremne Tegn"/>
    <w:basedOn w:val="MerknadstekstTegn"/>
    <w:link w:val="Kommentaremne"/>
    <w:uiPriority w:val="99"/>
    <w:semiHidden/>
    <w:rsid w:val="00B4126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BC6D3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unhideWhenUsed/>
    <w:qFormat/>
    <w:rsid w:val="005E4A9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555CE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55CE4"/>
    <w:rPr>
      <w:rFonts w:asciiTheme="majorHAnsi" w:eastAsiaTheme="majorEastAsia" w:hAnsiTheme="majorHAnsi" w:cstheme="majorBidi"/>
      <w:color w:val="323E4F" w:themeColor="text2" w:themeShade="BF"/>
      <w:spacing w:val="5"/>
      <w:kern w:val="28"/>
      <w:sz w:val="52"/>
      <w:szCs w:val="52"/>
    </w:rPr>
  </w:style>
  <w:style w:type="paragraph" w:styleId="Topptekst">
    <w:name w:val="header"/>
    <w:basedOn w:val="Normal"/>
    <w:link w:val="TopptekstTegn"/>
    <w:uiPriority w:val="99"/>
    <w:unhideWhenUsed/>
    <w:rsid w:val="00156B8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56B80"/>
  </w:style>
  <w:style w:type="paragraph" w:styleId="Bunntekst">
    <w:name w:val="footer"/>
    <w:basedOn w:val="Normal"/>
    <w:link w:val="BunntekstTegn"/>
    <w:uiPriority w:val="99"/>
    <w:unhideWhenUsed/>
    <w:rsid w:val="00156B8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56B80"/>
  </w:style>
  <w:style w:type="paragraph" w:styleId="Bobletekst">
    <w:name w:val="Balloon Text"/>
    <w:basedOn w:val="Normal"/>
    <w:link w:val="BobletekstTegn"/>
    <w:uiPriority w:val="99"/>
    <w:semiHidden/>
    <w:unhideWhenUsed/>
    <w:rsid w:val="00F36EB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36EBE"/>
    <w:rPr>
      <w:rFonts w:ascii="Tahoma" w:hAnsi="Tahoma" w:cs="Tahoma"/>
      <w:sz w:val="16"/>
      <w:szCs w:val="16"/>
    </w:rPr>
  </w:style>
  <w:style w:type="character" w:styleId="Plassholdertekst">
    <w:name w:val="Placeholder Text"/>
    <w:basedOn w:val="Standardskriftforavsnitt"/>
    <w:uiPriority w:val="99"/>
    <w:semiHidden/>
    <w:rsid w:val="004F1736"/>
    <w:rPr>
      <w:color w:val="808080"/>
    </w:rPr>
  </w:style>
  <w:style w:type="table" w:styleId="Tabellrutenett">
    <w:name w:val="Table Grid"/>
    <w:basedOn w:val="Vanligtabell"/>
    <w:uiPriority w:val="59"/>
    <w:rsid w:val="00CD0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CD001F"/>
    <w:pPr>
      <w:autoSpaceDE w:val="0"/>
      <w:autoSpaceDN w:val="0"/>
      <w:spacing w:after="0" w:line="240" w:lineRule="auto"/>
    </w:pPr>
    <w:rPr>
      <w:rFonts w:ascii="Calibri" w:hAnsi="Calibri" w:cs="Times New Roman"/>
      <w:color w:val="000000"/>
      <w:sz w:val="24"/>
      <w:szCs w:val="24"/>
    </w:rPr>
  </w:style>
  <w:style w:type="paragraph" w:styleId="Rentekst">
    <w:name w:val="Plain Text"/>
    <w:basedOn w:val="Normal"/>
    <w:link w:val="RentekstTegn"/>
    <w:uiPriority w:val="99"/>
    <w:semiHidden/>
    <w:unhideWhenUsed/>
    <w:rsid w:val="005B771C"/>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5B771C"/>
    <w:rPr>
      <w:rFonts w:ascii="Calibri" w:hAnsi="Calibri"/>
      <w:szCs w:val="21"/>
    </w:rPr>
  </w:style>
  <w:style w:type="paragraph" w:styleId="Listeavsnitt">
    <w:name w:val="List Paragraph"/>
    <w:basedOn w:val="Normal"/>
    <w:uiPriority w:val="34"/>
    <w:qFormat/>
    <w:rsid w:val="00414AF4"/>
    <w:pPr>
      <w:spacing w:after="0" w:line="240" w:lineRule="auto"/>
      <w:ind w:left="720"/>
    </w:pPr>
    <w:rPr>
      <w:rFonts w:ascii="Calibri" w:hAnsi="Calibri" w:cs="Times New Roman"/>
    </w:rPr>
  </w:style>
  <w:style w:type="character" w:customStyle="1" w:styleId="Overskrift2Tegn">
    <w:name w:val="Overskrift 2 Tegn"/>
    <w:basedOn w:val="Standardskriftforavsnitt"/>
    <w:link w:val="Overskrift2"/>
    <w:uiPriority w:val="9"/>
    <w:rsid w:val="005E4A97"/>
    <w:rPr>
      <w:rFonts w:asciiTheme="majorHAnsi" w:eastAsiaTheme="majorEastAsia" w:hAnsiTheme="majorHAnsi" w:cstheme="majorBidi"/>
      <w:b/>
      <w:bCs/>
      <w:color w:val="5B9BD5" w:themeColor="accent1"/>
      <w:sz w:val="26"/>
      <w:szCs w:val="26"/>
    </w:rPr>
  </w:style>
  <w:style w:type="character" w:customStyle="1" w:styleId="Overskrift1Tegn">
    <w:name w:val="Overskrift 1 Tegn"/>
    <w:basedOn w:val="Standardskriftforavsnitt"/>
    <w:link w:val="Overskrift1"/>
    <w:uiPriority w:val="9"/>
    <w:rsid w:val="00BC6D32"/>
    <w:rPr>
      <w:rFonts w:asciiTheme="majorHAnsi" w:eastAsiaTheme="majorEastAsia" w:hAnsiTheme="majorHAnsi" w:cstheme="majorBidi"/>
      <w:b/>
      <w:bCs/>
      <w:color w:val="2E74B5" w:themeColor="accent1" w:themeShade="BF"/>
      <w:sz w:val="28"/>
      <w:szCs w:val="28"/>
    </w:rPr>
  </w:style>
  <w:style w:type="character" w:styleId="Merknadsreferanse">
    <w:name w:val="annotation reference"/>
    <w:basedOn w:val="Standardskriftforavsnitt"/>
    <w:uiPriority w:val="99"/>
    <w:semiHidden/>
    <w:unhideWhenUsed/>
    <w:rsid w:val="00B41261"/>
    <w:rPr>
      <w:sz w:val="16"/>
      <w:szCs w:val="16"/>
    </w:rPr>
  </w:style>
  <w:style w:type="paragraph" w:styleId="Merknadstekst">
    <w:name w:val="annotation text"/>
    <w:basedOn w:val="Normal"/>
    <w:link w:val="MerknadstekstTegn"/>
    <w:uiPriority w:val="99"/>
    <w:semiHidden/>
    <w:unhideWhenUsed/>
    <w:rsid w:val="00B4126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B41261"/>
    <w:rPr>
      <w:sz w:val="20"/>
      <w:szCs w:val="20"/>
    </w:rPr>
  </w:style>
  <w:style w:type="paragraph" w:styleId="Kommentaremne">
    <w:name w:val="annotation subject"/>
    <w:basedOn w:val="Merknadstekst"/>
    <w:next w:val="Merknadstekst"/>
    <w:link w:val="KommentaremneTegn"/>
    <w:uiPriority w:val="99"/>
    <w:semiHidden/>
    <w:unhideWhenUsed/>
    <w:rsid w:val="00B41261"/>
    <w:rPr>
      <w:b/>
      <w:bCs/>
    </w:rPr>
  </w:style>
  <w:style w:type="character" w:customStyle="1" w:styleId="KommentaremneTegn">
    <w:name w:val="Kommentaremne Tegn"/>
    <w:basedOn w:val="MerknadstekstTegn"/>
    <w:link w:val="Kommentaremne"/>
    <w:uiPriority w:val="99"/>
    <w:semiHidden/>
    <w:rsid w:val="00B412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3890">
      <w:bodyDiv w:val="1"/>
      <w:marLeft w:val="0"/>
      <w:marRight w:val="0"/>
      <w:marTop w:val="0"/>
      <w:marBottom w:val="0"/>
      <w:divBdr>
        <w:top w:val="none" w:sz="0" w:space="0" w:color="auto"/>
        <w:left w:val="none" w:sz="0" w:space="0" w:color="auto"/>
        <w:bottom w:val="none" w:sz="0" w:space="0" w:color="auto"/>
        <w:right w:val="none" w:sz="0" w:space="0" w:color="auto"/>
      </w:divBdr>
    </w:div>
    <w:div w:id="20589252">
      <w:bodyDiv w:val="1"/>
      <w:marLeft w:val="0"/>
      <w:marRight w:val="0"/>
      <w:marTop w:val="0"/>
      <w:marBottom w:val="0"/>
      <w:divBdr>
        <w:top w:val="none" w:sz="0" w:space="0" w:color="auto"/>
        <w:left w:val="none" w:sz="0" w:space="0" w:color="auto"/>
        <w:bottom w:val="none" w:sz="0" w:space="0" w:color="auto"/>
        <w:right w:val="none" w:sz="0" w:space="0" w:color="auto"/>
      </w:divBdr>
    </w:div>
    <w:div w:id="34280418">
      <w:bodyDiv w:val="1"/>
      <w:marLeft w:val="0"/>
      <w:marRight w:val="0"/>
      <w:marTop w:val="0"/>
      <w:marBottom w:val="0"/>
      <w:divBdr>
        <w:top w:val="none" w:sz="0" w:space="0" w:color="auto"/>
        <w:left w:val="none" w:sz="0" w:space="0" w:color="auto"/>
        <w:bottom w:val="none" w:sz="0" w:space="0" w:color="auto"/>
        <w:right w:val="none" w:sz="0" w:space="0" w:color="auto"/>
      </w:divBdr>
    </w:div>
    <w:div w:id="39591953">
      <w:bodyDiv w:val="1"/>
      <w:marLeft w:val="0"/>
      <w:marRight w:val="0"/>
      <w:marTop w:val="0"/>
      <w:marBottom w:val="0"/>
      <w:divBdr>
        <w:top w:val="none" w:sz="0" w:space="0" w:color="auto"/>
        <w:left w:val="none" w:sz="0" w:space="0" w:color="auto"/>
        <w:bottom w:val="none" w:sz="0" w:space="0" w:color="auto"/>
        <w:right w:val="none" w:sz="0" w:space="0" w:color="auto"/>
      </w:divBdr>
    </w:div>
    <w:div w:id="41174647">
      <w:bodyDiv w:val="1"/>
      <w:marLeft w:val="0"/>
      <w:marRight w:val="0"/>
      <w:marTop w:val="0"/>
      <w:marBottom w:val="0"/>
      <w:divBdr>
        <w:top w:val="none" w:sz="0" w:space="0" w:color="auto"/>
        <w:left w:val="none" w:sz="0" w:space="0" w:color="auto"/>
        <w:bottom w:val="none" w:sz="0" w:space="0" w:color="auto"/>
        <w:right w:val="none" w:sz="0" w:space="0" w:color="auto"/>
      </w:divBdr>
    </w:div>
    <w:div w:id="64382866">
      <w:bodyDiv w:val="1"/>
      <w:marLeft w:val="0"/>
      <w:marRight w:val="0"/>
      <w:marTop w:val="0"/>
      <w:marBottom w:val="0"/>
      <w:divBdr>
        <w:top w:val="none" w:sz="0" w:space="0" w:color="auto"/>
        <w:left w:val="none" w:sz="0" w:space="0" w:color="auto"/>
        <w:bottom w:val="none" w:sz="0" w:space="0" w:color="auto"/>
        <w:right w:val="none" w:sz="0" w:space="0" w:color="auto"/>
      </w:divBdr>
    </w:div>
    <w:div w:id="103162246">
      <w:bodyDiv w:val="1"/>
      <w:marLeft w:val="0"/>
      <w:marRight w:val="0"/>
      <w:marTop w:val="0"/>
      <w:marBottom w:val="0"/>
      <w:divBdr>
        <w:top w:val="none" w:sz="0" w:space="0" w:color="auto"/>
        <w:left w:val="none" w:sz="0" w:space="0" w:color="auto"/>
        <w:bottom w:val="none" w:sz="0" w:space="0" w:color="auto"/>
        <w:right w:val="none" w:sz="0" w:space="0" w:color="auto"/>
      </w:divBdr>
    </w:div>
    <w:div w:id="150948986">
      <w:bodyDiv w:val="1"/>
      <w:marLeft w:val="0"/>
      <w:marRight w:val="0"/>
      <w:marTop w:val="0"/>
      <w:marBottom w:val="0"/>
      <w:divBdr>
        <w:top w:val="none" w:sz="0" w:space="0" w:color="auto"/>
        <w:left w:val="none" w:sz="0" w:space="0" w:color="auto"/>
        <w:bottom w:val="none" w:sz="0" w:space="0" w:color="auto"/>
        <w:right w:val="none" w:sz="0" w:space="0" w:color="auto"/>
      </w:divBdr>
    </w:div>
    <w:div w:id="164439017">
      <w:bodyDiv w:val="1"/>
      <w:marLeft w:val="0"/>
      <w:marRight w:val="0"/>
      <w:marTop w:val="0"/>
      <w:marBottom w:val="0"/>
      <w:divBdr>
        <w:top w:val="none" w:sz="0" w:space="0" w:color="auto"/>
        <w:left w:val="none" w:sz="0" w:space="0" w:color="auto"/>
        <w:bottom w:val="none" w:sz="0" w:space="0" w:color="auto"/>
        <w:right w:val="none" w:sz="0" w:space="0" w:color="auto"/>
      </w:divBdr>
    </w:div>
    <w:div w:id="269359832">
      <w:bodyDiv w:val="1"/>
      <w:marLeft w:val="0"/>
      <w:marRight w:val="0"/>
      <w:marTop w:val="0"/>
      <w:marBottom w:val="0"/>
      <w:divBdr>
        <w:top w:val="none" w:sz="0" w:space="0" w:color="auto"/>
        <w:left w:val="none" w:sz="0" w:space="0" w:color="auto"/>
        <w:bottom w:val="none" w:sz="0" w:space="0" w:color="auto"/>
        <w:right w:val="none" w:sz="0" w:space="0" w:color="auto"/>
      </w:divBdr>
    </w:div>
    <w:div w:id="323435665">
      <w:bodyDiv w:val="1"/>
      <w:marLeft w:val="0"/>
      <w:marRight w:val="0"/>
      <w:marTop w:val="0"/>
      <w:marBottom w:val="0"/>
      <w:divBdr>
        <w:top w:val="none" w:sz="0" w:space="0" w:color="auto"/>
        <w:left w:val="none" w:sz="0" w:space="0" w:color="auto"/>
        <w:bottom w:val="none" w:sz="0" w:space="0" w:color="auto"/>
        <w:right w:val="none" w:sz="0" w:space="0" w:color="auto"/>
      </w:divBdr>
    </w:div>
    <w:div w:id="371001854">
      <w:bodyDiv w:val="1"/>
      <w:marLeft w:val="0"/>
      <w:marRight w:val="0"/>
      <w:marTop w:val="0"/>
      <w:marBottom w:val="0"/>
      <w:divBdr>
        <w:top w:val="none" w:sz="0" w:space="0" w:color="auto"/>
        <w:left w:val="none" w:sz="0" w:space="0" w:color="auto"/>
        <w:bottom w:val="none" w:sz="0" w:space="0" w:color="auto"/>
        <w:right w:val="none" w:sz="0" w:space="0" w:color="auto"/>
      </w:divBdr>
    </w:div>
    <w:div w:id="391851887">
      <w:bodyDiv w:val="1"/>
      <w:marLeft w:val="0"/>
      <w:marRight w:val="0"/>
      <w:marTop w:val="0"/>
      <w:marBottom w:val="0"/>
      <w:divBdr>
        <w:top w:val="none" w:sz="0" w:space="0" w:color="auto"/>
        <w:left w:val="none" w:sz="0" w:space="0" w:color="auto"/>
        <w:bottom w:val="none" w:sz="0" w:space="0" w:color="auto"/>
        <w:right w:val="none" w:sz="0" w:space="0" w:color="auto"/>
      </w:divBdr>
    </w:div>
    <w:div w:id="546918198">
      <w:bodyDiv w:val="1"/>
      <w:marLeft w:val="0"/>
      <w:marRight w:val="0"/>
      <w:marTop w:val="0"/>
      <w:marBottom w:val="0"/>
      <w:divBdr>
        <w:top w:val="none" w:sz="0" w:space="0" w:color="auto"/>
        <w:left w:val="none" w:sz="0" w:space="0" w:color="auto"/>
        <w:bottom w:val="none" w:sz="0" w:space="0" w:color="auto"/>
        <w:right w:val="none" w:sz="0" w:space="0" w:color="auto"/>
      </w:divBdr>
    </w:div>
    <w:div w:id="577323439">
      <w:bodyDiv w:val="1"/>
      <w:marLeft w:val="0"/>
      <w:marRight w:val="0"/>
      <w:marTop w:val="0"/>
      <w:marBottom w:val="0"/>
      <w:divBdr>
        <w:top w:val="none" w:sz="0" w:space="0" w:color="auto"/>
        <w:left w:val="none" w:sz="0" w:space="0" w:color="auto"/>
        <w:bottom w:val="none" w:sz="0" w:space="0" w:color="auto"/>
        <w:right w:val="none" w:sz="0" w:space="0" w:color="auto"/>
      </w:divBdr>
    </w:div>
    <w:div w:id="588855241">
      <w:bodyDiv w:val="1"/>
      <w:marLeft w:val="0"/>
      <w:marRight w:val="0"/>
      <w:marTop w:val="0"/>
      <w:marBottom w:val="0"/>
      <w:divBdr>
        <w:top w:val="none" w:sz="0" w:space="0" w:color="auto"/>
        <w:left w:val="none" w:sz="0" w:space="0" w:color="auto"/>
        <w:bottom w:val="none" w:sz="0" w:space="0" w:color="auto"/>
        <w:right w:val="none" w:sz="0" w:space="0" w:color="auto"/>
      </w:divBdr>
    </w:div>
    <w:div w:id="604725972">
      <w:bodyDiv w:val="1"/>
      <w:marLeft w:val="0"/>
      <w:marRight w:val="0"/>
      <w:marTop w:val="0"/>
      <w:marBottom w:val="0"/>
      <w:divBdr>
        <w:top w:val="none" w:sz="0" w:space="0" w:color="auto"/>
        <w:left w:val="none" w:sz="0" w:space="0" w:color="auto"/>
        <w:bottom w:val="none" w:sz="0" w:space="0" w:color="auto"/>
        <w:right w:val="none" w:sz="0" w:space="0" w:color="auto"/>
      </w:divBdr>
    </w:div>
    <w:div w:id="700253471">
      <w:bodyDiv w:val="1"/>
      <w:marLeft w:val="0"/>
      <w:marRight w:val="0"/>
      <w:marTop w:val="0"/>
      <w:marBottom w:val="0"/>
      <w:divBdr>
        <w:top w:val="none" w:sz="0" w:space="0" w:color="auto"/>
        <w:left w:val="none" w:sz="0" w:space="0" w:color="auto"/>
        <w:bottom w:val="none" w:sz="0" w:space="0" w:color="auto"/>
        <w:right w:val="none" w:sz="0" w:space="0" w:color="auto"/>
      </w:divBdr>
    </w:div>
    <w:div w:id="762529498">
      <w:bodyDiv w:val="1"/>
      <w:marLeft w:val="0"/>
      <w:marRight w:val="0"/>
      <w:marTop w:val="0"/>
      <w:marBottom w:val="0"/>
      <w:divBdr>
        <w:top w:val="none" w:sz="0" w:space="0" w:color="auto"/>
        <w:left w:val="none" w:sz="0" w:space="0" w:color="auto"/>
        <w:bottom w:val="none" w:sz="0" w:space="0" w:color="auto"/>
        <w:right w:val="none" w:sz="0" w:space="0" w:color="auto"/>
      </w:divBdr>
    </w:div>
    <w:div w:id="770855552">
      <w:bodyDiv w:val="1"/>
      <w:marLeft w:val="0"/>
      <w:marRight w:val="0"/>
      <w:marTop w:val="0"/>
      <w:marBottom w:val="0"/>
      <w:divBdr>
        <w:top w:val="none" w:sz="0" w:space="0" w:color="auto"/>
        <w:left w:val="none" w:sz="0" w:space="0" w:color="auto"/>
        <w:bottom w:val="none" w:sz="0" w:space="0" w:color="auto"/>
        <w:right w:val="none" w:sz="0" w:space="0" w:color="auto"/>
      </w:divBdr>
    </w:div>
    <w:div w:id="815992178">
      <w:bodyDiv w:val="1"/>
      <w:marLeft w:val="0"/>
      <w:marRight w:val="0"/>
      <w:marTop w:val="0"/>
      <w:marBottom w:val="0"/>
      <w:divBdr>
        <w:top w:val="none" w:sz="0" w:space="0" w:color="auto"/>
        <w:left w:val="none" w:sz="0" w:space="0" w:color="auto"/>
        <w:bottom w:val="none" w:sz="0" w:space="0" w:color="auto"/>
        <w:right w:val="none" w:sz="0" w:space="0" w:color="auto"/>
      </w:divBdr>
    </w:div>
    <w:div w:id="835417951">
      <w:bodyDiv w:val="1"/>
      <w:marLeft w:val="0"/>
      <w:marRight w:val="0"/>
      <w:marTop w:val="0"/>
      <w:marBottom w:val="0"/>
      <w:divBdr>
        <w:top w:val="none" w:sz="0" w:space="0" w:color="auto"/>
        <w:left w:val="none" w:sz="0" w:space="0" w:color="auto"/>
        <w:bottom w:val="none" w:sz="0" w:space="0" w:color="auto"/>
        <w:right w:val="none" w:sz="0" w:space="0" w:color="auto"/>
      </w:divBdr>
    </w:div>
    <w:div w:id="865405293">
      <w:bodyDiv w:val="1"/>
      <w:marLeft w:val="0"/>
      <w:marRight w:val="0"/>
      <w:marTop w:val="0"/>
      <w:marBottom w:val="0"/>
      <w:divBdr>
        <w:top w:val="none" w:sz="0" w:space="0" w:color="auto"/>
        <w:left w:val="none" w:sz="0" w:space="0" w:color="auto"/>
        <w:bottom w:val="none" w:sz="0" w:space="0" w:color="auto"/>
        <w:right w:val="none" w:sz="0" w:space="0" w:color="auto"/>
      </w:divBdr>
    </w:div>
    <w:div w:id="937492547">
      <w:bodyDiv w:val="1"/>
      <w:marLeft w:val="0"/>
      <w:marRight w:val="0"/>
      <w:marTop w:val="0"/>
      <w:marBottom w:val="0"/>
      <w:divBdr>
        <w:top w:val="none" w:sz="0" w:space="0" w:color="auto"/>
        <w:left w:val="none" w:sz="0" w:space="0" w:color="auto"/>
        <w:bottom w:val="none" w:sz="0" w:space="0" w:color="auto"/>
        <w:right w:val="none" w:sz="0" w:space="0" w:color="auto"/>
      </w:divBdr>
    </w:div>
    <w:div w:id="1027415820">
      <w:bodyDiv w:val="1"/>
      <w:marLeft w:val="0"/>
      <w:marRight w:val="0"/>
      <w:marTop w:val="0"/>
      <w:marBottom w:val="0"/>
      <w:divBdr>
        <w:top w:val="none" w:sz="0" w:space="0" w:color="auto"/>
        <w:left w:val="none" w:sz="0" w:space="0" w:color="auto"/>
        <w:bottom w:val="none" w:sz="0" w:space="0" w:color="auto"/>
        <w:right w:val="none" w:sz="0" w:space="0" w:color="auto"/>
      </w:divBdr>
    </w:div>
    <w:div w:id="1055658898">
      <w:bodyDiv w:val="1"/>
      <w:marLeft w:val="0"/>
      <w:marRight w:val="0"/>
      <w:marTop w:val="0"/>
      <w:marBottom w:val="0"/>
      <w:divBdr>
        <w:top w:val="none" w:sz="0" w:space="0" w:color="auto"/>
        <w:left w:val="none" w:sz="0" w:space="0" w:color="auto"/>
        <w:bottom w:val="none" w:sz="0" w:space="0" w:color="auto"/>
        <w:right w:val="none" w:sz="0" w:space="0" w:color="auto"/>
      </w:divBdr>
    </w:div>
    <w:div w:id="1118061171">
      <w:bodyDiv w:val="1"/>
      <w:marLeft w:val="0"/>
      <w:marRight w:val="0"/>
      <w:marTop w:val="0"/>
      <w:marBottom w:val="0"/>
      <w:divBdr>
        <w:top w:val="none" w:sz="0" w:space="0" w:color="auto"/>
        <w:left w:val="none" w:sz="0" w:space="0" w:color="auto"/>
        <w:bottom w:val="none" w:sz="0" w:space="0" w:color="auto"/>
        <w:right w:val="none" w:sz="0" w:space="0" w:color="auto"/>
      </w:divBdr>
    </w:div>
    <w:div w:id="1120612467">
      <w:bodyDiv w:val="1"/>
      <w:marLeft w:val="0"/>
      <w:marRight w:val="0"/>
      <w:marTop w:val="0"/>
      <w:marBottom w:val="0"/>
      <w:divBdr>
        <w:top w:val="none" w:sz="0" w:space="0" w:color="auto"/>
        <w:left w:val="none" w:sz="0" w:space="0" w:color="auto"/>
        <w:bottom w:val="none" w:sz="0" w:space="0" w:color="auto"/>
        <w:right w:val="none" w:sz="0" w:space="0" w:color="auto"/>
      </w:divBdr>
    </w:div>
    <w:div w:id="1139957579">
      <w:bodyDiv w:val="1"/>
      <w:marLeft w:val="0"/>
      <w:marRight w:val="0"/>
      <w:marTop w:val="0"/>
      <w:marBottom w:val="0"/>
      <w:divBdr>
        <w:top w:val="none" w:sz="0" w:space="0" w:color="auto"/>
        <w:left w:val="none" w:sz="0" w:space="0" w:color="auto"/>
        <w:bottom w:val="none" w:sz="0" w:space="0" w:color="auto"/>
        <w:right w:val="none" w:sz="0" w:space="0" w:color="auto"/>
      </w:divBdr>
    </w:div>
    <w:div w:id="1145007777">
      <w:bodyDiv w:val="1"/>
      <w:marLeft w:val="0"/>
      <w:marRight w:val="0"/>
      <w:marTop w:val="0"/>
      <w:marBottom w:val="0"/>
      <w:divBdr>
        <w:top w:val="none" w:sz="0" w:space="0" w:color="auto"/>
        <w:left w:val="none" w:sz="0" w:space="0" w:color="auto"/>
        <w:bottom w:val="none" w:sz="0" w:space="0" w:color="auto"/>
        <w:right w:val="none" w:sz="0" w:space="0" w:color="auto"/>
      </w:divBdr>
    </w:div>
    <w:div w:id="1288925944">
      <w:bodyDiv w:val="1"/>
      <w:marLeft w:val="0"/>
      <w:marRight w:val="0"/>
      <w:marTop w:val="0"/>
      <w:marBottom w:val="0"/>
      <w:divBdr>
        <w:top w:val="none" w:sz="0" w:space="0" w:color="auto"/>
        <w:left w:val="none" w:sz="0" w:space="0" w:color="auto"/>
        <w:bottom w:val="none" w:sz="0" w:space="0" w:color="auto"/>
        <w:right w:val="none" w:sz="0" w:space="0" w:color="auto"/>
      </w:divBdr>
    </w:div>
    <w:div w:id="1307197071">
      <w:bodyDiv w:val="1"/>
      <w:marLeft w:val="0"/>
      <w:marRight w:val="0"/>
      <w:marTop w:val="0"/>
      <w:marBottom w:val="0"/>
      <w:divBdr>
        <w:top w:val="none" w:sz="0" w:space="0" w:color="auto"/>
        <w:left w:val="none" w:sz="0" w:space="0" w:color="auto"/>
        <w:bottom w:val="none" w:sz="0" w:space="0" w:color="auto"/>
        <w:right w:val="none" w:sz="0" w:space="0" w:color="auto"/>
      </w:divBdr>
    </w:div>
    <w:div w:id="1359158845">
      <w:bodyDiv w:val="1"/>
      <w:marLeft w:val="0"/>
      <w:marRight w:val="0"/>
      <w:marTop w:val="0"/>
      <w:marBottom w:val="0"/>
      <w:divBdr>
        <w:top w:val="none" w:sz="0" w:space="0" w:color="auto"/>
        <w:left w:val="none" w:sz="0" w:space="0" w:color="auto"/>
        <w:bottom w:val="none" w:sz="0" w:space="0" w:color="auto"/>
        <w:right w:val="none" w:sz="0" w:space="0" w:color="auto"/>
      </w:divBdr>
      <w:divsChild>
        <w:div w:id="227690506">
          <w:marLeft w:val="850"/>
          <w:marRight w:val="0"/>
          <w:marTop w:val="100"/>
          <w:marBottom w:val="0"/>
          <w:divBdr>
            <w:top w:val="none" w:sz="0" w:space="0" w:color="auto"/>
            <w:left w:val="none" w:sz="0" w:space="0" w:color="auto"/>
            <w:bottom w:val="none" w:sz="0" w:space="0" w:color="auto"/>
            <w:right w:val="none" w:sz="0" w:space="0" w:color="auto"/>
          </w:divBdr>
        </w:div>
      </w:divsChild>
    </w:div>
    <w:div w:id="1367564784">
      <w:bodyDiv w:val="1"/>
      <w:marLeft w:val="0"/>
      <w:marRight w:val="0"/>
      <w:marTop w:val="0"/>
      <w:marBottom w:val="0"/>
      <w:divBdr>
        <w:top w:val="none" w:sz="0" w:space="0" w:color="auto"/>
        <w:left w:val="none" w:sz="0" w:space="0" w:color="auto"/>
        <w:bottom w:val="none" w:sz="0" w:space="0" w:color="auto"/>
        <w:right w:val="none" w:sz="0" w:space="0" w:color="auto"/>
      </w:divBdr>
    </w:div>
    <w:div w:id="1377582795">
      <w:bodyDiv w:val="1"/>
      <w:marLeft w:val="0"/>
      <w:marRight w:val="0"/>
      <w:marTop w:val="0"/>
      <w:marBottom w:val="0"/>
      <w:divBdr>
        <w:top w:val="none" w:sz="0" w:space="0" w:color="auto"/>
        <w:left w:val="none" w:sz="0" w:space="0" w:color="auto"/>
        <w:bottom w:val="none" w:sz="0" w:space="0" w:color="auto"/>
        <w:right w:val="none" w:sz="0" w:space="0" w:color="auto"/>
      </w:divBdr>
    </w:div>
    <w:div w:id="1412122088">
      <w:bodyDiv w:val="1"/>
      <w:marLeft w:val="0"/>
      <w:marRight w:val="0"/>
      <w:marTop w:val="0"/>
      <w:marBottom w:val="0"/>
      <w:divBdr>
        <w:top w:val="none" w:sz="0" w:space="0" w:color="auto"/>
        <w:left w:val="none" w:sz="0" w:space="0" w:color="auto"/>
        <w:bottom w:val="none" w:sz="0" w:space="0" w:color="auto"/>
        <w:right w:val="none" w:sz="0" w:space="0" w:color="auto"/>
      </w:divBdr>
      <w:divsChild>
        <w:div w:id="1354070984">
          <w:marLeft w:val="1526"/>
          <w:marRight w:val="0"/>
          <w:marTop w:val="100"/>
          <w:marBottom w:val="0"/>
          <w:divBdr>
            <w:top w:val="none" w:sz="0" w:space="0" w:color="auto"/>
            <w:left w:val="none" w:sz="0" w:space="0" w:color="auto"/>
            <w:bottom w:val="none" w:sz="0" w:space="0" w:color="auto"/>
            <w:right w:val="none" w:sz="0" w:space="0" w:color="auto"/>
          </w:divBdr>
        </w:div>
      </w:divsChild>
    </w:div>
    <w:div w:id="1503737180">
      <w:bodyDiv w:val="1"/>
      <w:marLeft w:val="0"/>
      <w:marRight w:val="0"/>
      <w:marTop w:val="0"/>
      <w:marBottom w:val="0"/>
      <w:divBdr>
        <w:top w:val="none" w:sz="0" w:space="0" w:color="auto"/>
        <w:left w:val="none" w:sz="0" w:space="0" w:color="auto"/>
        <w:bottom w:val="none" w:sz="0" w:space="0" w:color="auto"/>
        <w:right w:val="none" w:sz="0" w:space="0" w:color="auto"/>
      </w:divBdr>
      <w:divsChild>
        <w:div w:id="41903427">
          <w:marLeft w:val="1526"/>
          <w:marRight w:val="0"/>
          <w:marTop w:val="100"/>
          <w:marBottom w:val="0"/>
          <w:divBdr>
            <w:top w:val="none" w:sz="0" w:space="0" w:color="auto"/>
            <w:left w:val="none" w:sz="0" w:space="0" w:color="auto"/>
            <w:bottom w:val="none" w:sz="0" w:space="0" w:color="auto"/>
            <w:right w:val="none" w:sz="0" w:space="0" w:color="auto"/>
          </w:divBdr>
        </w:div>
      </w:divsChild>
    </w:div>
    <w:div w:id="1518275183">
      <w:bodyDiv w:val="1"/>
      <w:marLeft w:val="0"/>
      <w:marRight w:val="0"/>
      <w:marTop w:val="0"/>
      <w:marBottom w:val="0"/>
      <w:divBdr>
        <w:top w:val="none" w:sz="0" w:space="0" w:color="auto"/>
        <w:left w:val="none" w:sz="0" w:space="0" w:color="auto"/>
        <w:bottom w:val="none" w:sz="0" w:space="0" w:color="auto"/>
        <w:right w:val="none" w:sz="0" w:space="0" w:color="auto"/>
      </w:divBdr>
      <w:divsChild>
        <w:div w:id="281304737">
          <w:marLeft w:val="850"/>
          <w:marRight w:val="0"/>
          <w:marTop w:val="100"/>
          <w:marBottom w:val="0"/>
          <w:divBdr>
            <w:top w:val="none" w:sz="0" w:space="0" w:color="auto"/>
            <w:left w:val="none" w:sz="0" w:space="0" w:color="auto"/>
            <w:bottom w:val="none" w:sz="0" w:space="0" w:color="auto"/>
            <w:right w:val="none" w:sz="0" w:space="0" w:color="auto"/>
          </w:divBdr>
        </w:div>
      </w:divsChild>
    </w:div>
    <w:div w:id="1609433451">
      <w:bodyDiv w:val="1"/>
      <w:marLeft w:val="0"/>
      <w:marRight w:val="0"/>
      <w:marTop w:val="0"/>
      <w:marBottom w:val="0"/>
      <w:divBdr>
        <w:top w:val="none" w:sz="0" w:space="0" w:color="auto"/>
        <w:left w:val="none" w:sz="0" w:space="0" w:color="auto"/>
        <w:bottom w:val="none" w:sz="0" w:space="0" w:color="auto"/>
        <w:right w:val="none" w:sz="0" w:space="0" w:color="auto"/>
      </w:divBdr>
    </w:div>
    <w:div w:id="1817065623">
      <w:bodyDiv w:val="1"/>
      <w:marLeft w:val="0"/>
      <w:marRight w:val="0"/>
      <w:marTop w:val="0"/>
      <w:marBottom w:val="0"/>
      <w:divBdr>
        <w:top w:val="none" w:sz="0" w:space="0" w:color="auto"/>
        <w:left w:val="none" w:sz="0" w:space="0" w:color="auto"/>
        <w:bottom w:val="none" w:sz="0" w:space="0" w:color="auto"/>
        <w:right w:val="none" w:sz="0" w:space="0" w:color="auto"/>
      </w:divBdr>
    </w:div>
    <w:div w:id="185738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E1FE3683731FC4698A7CE6B8DF426FB" ma:contentTypeVersion="1" ma:contentTypeDescription="Opprett et nytt dokument." ma:contentTypeScope="" ma:versionID="1aa839f3bdcca6d6c4cf788e53094610">
  <xsd:schema xmlns:xsd="http://www.w3.org/2001/XMLSchema" xmlns:xs="http://www.w3.org/2001/XMLSchema" xmlns:p="http://schemas.microsoft.com/office/2006/metadata/properties" xmlns:ns1="http://schemas.microsoft.com/sharepoint/v3" targetNamespace="http://schemas.microsoft.com/office/2006/metadata/properties" ma:root="true" ma:fieldsID="90c0180eee9ee720d3a6c588d300bb7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9"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E06B3-50C7-438B-A7A8-14B2ADBC9040}">
  <ds:schemaRefs>
    <ds:schemaRef ds:uri="http://schemas.microsoft.com/sharepoint/v3"/>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ED6E46B-F2E2-470F-A1C3-610E85A847DD}">
  <ds:schemaRefs>
    <ds:schemaRef ds:uri="http://schemas.microsoft.com/sharepoint/v3/contenttype/forms"/>
  </ds:schemaRefs>
</ds:datastoreItem>
</file>

<file path=customXml/itemProps3.xml><?xml version="1.0" encoding="utf-8"?>
<ds:datastoreItem xmlns:ds="http://schemas.openxmlformats.org/officeDocument/2006/customXml" ds:itemID="{37AE080E-6773-4F2E-B654-421D8D4FD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18891-52BC-43C7-9136-E682317E0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980</Words>
  <Characters>5197</Characters>
  <Application>Microsoft Office Word</Application>
  <DocSecurity>0</DocSecurity>
  <Lines>43</Lines>
  <Paragraphs>12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Helsedirektoratet</Company>
  <LinksUpToDate>false</LinksUpToDate>
  <CharactersWithSpaces>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 Vatn Takala</dc:creator>
  <cp:lastModifiedBy>Marit Pedersen</cp:lastModifiedBy>
  <cp:revision>3</cp:revision>
  <dcterms:created xsi:type="dcterms:W3CDTF">2017-02-02T13:33:00Z</dcterms:created>
  <dcterms:modified xsi:type="dcterms:W3CDTF">2017-02-02T13:35:00Z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0x0101005E1FE3683731FC4698A7CE6B8DF426FB</vt:lpwstr>
  </property>
</Properties>
</file>