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D983" w14:textId="77777777" w:rsidR="00F33279" w:rsidRDefault="00F33279">
      <w:pPr>
        <w:pStyle w:val="Default"/>
        <w:rPr>
          <w:rFonts w:cs="Times New Roman"/>
          <w:color w:val="auto"/>
          <w:sz w:val="22"/>
          <w:szCs w:val="22"/>
        </w:rPr>
      </w:pPr>
    </w:p>
    <w:p w14:paraId="50EF3E5F" w14:textId="77777777" w:rsidR="00F33279" w:rsidRDefault="00A555FE">
      <w:r>
        <w:t xml:space="preserve">Når man bruker Kostholdsplanleggeren som privatperson, er det Helsedirektoratet som er ansvarlig for å behandle personopplysninger og som skal behandle disse i samsvar med personvernerklæringen for </w:t>
      </w:r>
      <w:r>
        <w:t>Kostholdsplanleggeren og gjeldende regelverk. Når man bruker Kostholdsplanleggeren som elev, student eller som ansatt i en virksomhet er det skole/utdanningsinstitusjon/arbeidsplass som er behandlingsansvarlig for personopplysningene. Helsedirektoratet ska</w:t>
      </w:r>
      <w:r>
        <w:t>l da behandle opplysningene i henhold til en databehandleravtale som er inngått mellom Helsedirektoratet og skole/utdanningsinstitusjon/arbeidsplass. Skoler, utdanningsinstitusjoner og andre virksomheter velger om de vil ta Kostholdsplanleggeren i bruk for</w:t>
      </w:r>
      <w:r>
        <w:t xml:space="preserve"> egne elever, studenter og ansatte. Virksomheter som tidligere har inngått avtale med Mattilsynet må inngå ny databehandleravtale med Helsedirektoratet.</w:t>
      </w:r>
    </w:p>
    <w:p w14:paraId="05389CCE" w14:textId="77777777" w:rsidR="00F33279" w:rsidRDefault="00F33279">
      <w:pPr>
        <w:pStyle w:val="Tittel"/>
      </w:pPr>
    </w:p>
    <w:p w14:paraId="67E43997" w14:textId="77777777" w:rsidR="00F33279" w:rsidRDefault="00A555FE">
      <w:pPr>
        <w:pStyle w:val="Overskrift1"/>
      </w:pPr>
      <w:r>
        <w:t xml:space="preserve">Databehandleravtale </w:t>
      </w:r>
    </w:p>
    <w:p w14:paraId="39823CE2" w14:textId="77777777" w:rsidR="00F33279" w:rsidRDefault="00F33279">
      <w:pPr>
        <w:rPr>
          <w:b/>
        </w:rPr>
      </w:pPr>
    </w:p>
    <w:p w14:paraId="54667A93" w14:textId="77777777" w:rsidR="00F33279" w:rsidRDefault="00A555FE">
      <w:pPr>
        <w:rPr>
          <w:b/>
        </w:rPr>
      </w:pPr>
      <w:r>
        <w:rPr>
          <w:b/>
        </w:rPr>
        <w:t>mellom</w:t>
      </w:r>
    </w:p>
    <w:p w14:paraId="7A793663" w14:textId="77777777" w:rsidR="00F33279" w:rsidRDefault="00F33279">
      <w:pPr>
        <w:rPr>
          <w:b/>
        </w:rPr>
      </w:pPr>
    </w:p>
    <w:p w14:paraId="17285DC4" w14:textId="77777777" w:rsidR="00F33279" w:rsidRDefault="00A555FE">
      <w:pPr>
        <w:rPr>
          <w:b/>
        </w:rPr>
      </w:pPr>
      <w:r>
        <w:rPr>
          <w:b/>
        </w:rPr>
        <w:t>[Brukeren av Kostholdsplanleggeren]</w:t>
      </w:r>
    </w:p>
    <w:p w14:paraId="02A1EDF7" w14:textId="77777777" w:rsidR="00F33279" w:rsidRDefault="00A555FE">
      <w:pPr>
        <w:rPr>
          <w:b/>
        </w:rPr>
      </w:pPr>
      <w:r>
        <w:rPr>
          <w:b/>
        </w:rPr>
        <w:t>(heretter kalt "Behandlingsansvarlig</w:t>
      </w:r>
      <w:r>
        <w:rPr>
          <w:b/>
        </w:rPr>
        <w:t>")</w:t>
      </w:r>
    </w:p>
    <w:p w14:paraId="1932D454" w14:textId="77777777" w:rsidR="00F33279" w:rsidRDefault="00F33279">
      <w:pPr>
        <w:rPr>
          <w:b/>
        </w:rPr>
      </w:pPr>
    </w:p>
    <w:p w14:paraId="4E086BD1" w14:textId="77777777" w:rsidR="00F33279" w:rsidRDefault="00A555FE">
      <w:pPr>
        <w:rPr>
          <w:b/>
        </w:rPr>
      </w:pPr>
      <w:r>
        <w:rPr>
          <w:b/>
        </w:rPr>
        <w:t>og</w:t>
      </w:r>
    </w:p>
    <w:p w14:paraId="341CFE7A" w14:textId="77777777" w:rsidR="00F33279" w:rsidRDefault="00F33279">
      <w:pPr>
        <w:rPr>
          <w:b/>
        </w:rPr>
      </w:pPr>
    </w:p>
    <w:p w14:paraId="575B6815" w14:textId="77777777" w:rsidR="00F33279" w:rsidRDefault="00A555FE">
      <w:pPr>
        <w:rPr>
          <w:b/>
        </w:rPr>
      </w:pPr>
      <w:r>
        <w:rPr>
          <w:b/>
        </w:rPr>
        <w:t>Helsedirektoratet</w:t>
      </w:r>
    </w:p>
    <w:p w14:paraId="68B4DEB2" w14:textId="77777777" w:rsidR="00F33279" w:rsidRDefault="00A555FE">
      <w:pPr>
        <w:rPr>
          <w:b/>
        </w:rPr>
      </w:pPr>
      <w:r>
        <w:rPr>
          <w:b/>
        </w:rPr>
        <w:t>(heretter kalt "Databehandler")</w:t>
      </w:r>
    </w:p>
    <w:p w14:paraId="7DD0302C" w14:textId="77777777" w:rsidR="00F33279" w:rsidRDefault="00F33279">
      <w:pPr>
        <w:rPr>
          <w:b/>
        </w:rPr>
      </w:pPr>
    </w:p>
    <w:p w14:paraId="36D4FC33" w14:textId="77777777" w:rsidR="00F33279" w:rsidRDefault="00A555FE">
      <w:pPr>
        <w:pStyle w:val="Overskrift2"/>
      </w:pPr>
      <w:r>
        <w:t>Om Databehandlers (Helsedirektoratets) behandling av personopplysninger på vegne av Behandlingsansvarlig</w:t>
      </w:r>
    </w:p>
    <w:p w14:paraId="23DBFFE1" w14:textId="77777777" w:rsidR="00F33279" w:rsidRDefault="00A555FE">
      <w:pPr>
        <w:pStyle w:val="Overskrift3"/>
      </w:pPr>
      <w:r>
        <w:t>Bakgrunn og formål</w:t>
      </w:r>
    </w:p>
    <w:p w14:paraId="49F41BED" w14:textId="77777777" w:rsidR="00F33279" w:rsidRDefault="00A555FE">
      <w:r>
        <w:t xml:space="preserve">Behandlingsansvarlig ønsker å ta i bruk tjenesten </w:t>
      </w:r>
      <w:r>
        <w:t>Kostholdsplanleggeren ("</w:t>
      </w:r>
      <w:r>
        <w:rPr>
          <w:b/>
        </w:rPr>
        <w:t>Tjenesten</w:t>
      </w:r>
      <w:r>
        <w:t xml:space="preserve">") som leveres av Databehandler. </w:t>
      </w:r>
    </w:p>
    <w:p w14:paraId="34E02DFD" w14:textId="77777777" w:rsidR="00F33279" w:rsidRDefault="00A555FE">
      <w:r>
        <w:t>I forbindelse med Tjenesten vil Databehandler kunne behandle Personopplysninger i henhold til Lov om behandling av personopplysninger av 15.juni 2018 nr. 38 som iverksetter Europaparlaments</w:t>
      </w:r>
      <w:r>
        <w:t xml:space="preserve">- og rådsforordning (EU) 2016/679 av 27.april 2016 om vern av fysiske personer i forbindelse med behandling av personopplysninger og om fri utveksling av slike opplysninger (General Data Protection Regulation) </w:t>
      </w:r>
      <w:r>
        <w:lastRenderedPageBreak/>
        <w:t>(heretter omtalt som "personvernforordningen")</w:t>
      </w:r>
      <w:r>
        <w:t>. Denne avtalen regulerer slik behandling av Personopplysninger på vegne av Behandlingsansvarlig som ledd i bruken av Tjenesten.</w:t>
      </w:r>
    </w:p>
    <w:p w14:paraId="1751030D" w14:textId="77777777" w:rsidR="00F33279" w:rsidRDefault="00A555FE">
      <w:r>
        <w:t xml:space="preserve">Tjenesten er et gratis kostberegningsprogram der enkeltpersoner kan beregne summen av næringsinnhold i registrerte matvarer og </w:t>
      </w:r>
      <w:r>
        <w:t xml:space="preserve">sammenlikne med norske anbefalinger for inntak av energi og næringsstoffer. </w:t>
      </w:r>
    </w:p>
    <w:p w14:paraId="19EECFC9" w14:textId="77777777" w:rsidR="00F33279" w:rsidRDefault="00A555FE">
      <w:r>
        <w:t xml:space="preserve">Kostholdsplanleggeren kan brukes av alle som vil vite hva maten inneholder og som vil planlegge eget kosthold. </w:t>
      </w:r>
    </w:p>
    <w:p w14:paraId="79A5FF20" w14:textId="77777777" w:rsidR="00F33279" w:rsidRDefault="00A555FE">
      <w:r>
        <w:t xml:space="preserve">Kostholdsplanleggeren brukes i faget "Mat og helse" i grunnskolen, </w:t>
      </w:r>
      <w:r>
        <w:t xml:space="preserve">undervisning for helsefag på videregående og ernærings- og helsefag i høyere utdanning, i kostholdsopplæring og ernæringsveiledning. </w:t>
      </w:r>
    </w:p>
    <w:p w14:paraId="703955CC" w14:textId="77777777" w:rsidR="00F33279" w:rsidRDefault="00A555FE">
      <w:r>
        <w:t>Formålet med Databehandlerens behandling av personopplysninger på vegne av Behandlingsansvarlig er å levere og administrer</w:t>
      </w:r>
      <w:r>
        <w:t xml:space="preserve">e Tjenesten ved å vise, beregne og sammenlikne næringsinnhold i matvarer, retter, måltider og dags- og ukeinntak. Personopplysninger som behandles som databehandler vil være ID for bruker og brukerens menyer. </w:t>
      </w:r>
    </w:p>
    <w:p w14:paraId="629D77F5" w14:textId="77777777" w:rsidR="00F33279" w:rsidRDefault="00A555FE">
      <w:r>
        <w:t>Pålogging i tjenesten skjer gjennom påloggings</w:t>
      </w:r>
      <w:r>
        <w:t>tjenestene Feide og ID-porten. Når brukeren logger seg inn gjennom autentiseringsleverandører (Feide eller ID-porten), får Databehandler (Helsedirektoratet) oversendt en unik tallkode for brukeren fra Feide eller ID-porten. Direktoratet kan ikke selv spore</w:t>
      </w:r>
      <w:r>
        <w:t xml:space="preserve"> denne tallkoden tilbake til brukerens navn eller e-post.  </w:t>
      </w:r>
    </w:p>
    <w:p w14:paraId="4E0FCDCA" w14:textId="77777777" w:rsidR="00F33279" w:rsidRDefault="00A555FE">
      <w:r>
        <w:t xml:space="preserve">Behandling av personopplysninger i forbindelse med påloggingen via Feide reguleres i særskilt avtale med Feide.   </w:t>
      </w:r>
    </w:p>
    <w:p w14:paraId="4F56ABC7" w14:textId="77777777" w:rsidR="00F33279" w:rsidRDefault="00A555FE">
      <w:r>
        <w:t>Denne databehandleravtalen ("</w:t>
      </w:r>
      <w:r>
        <w:rPr>
          <w:b/>
        </w:rPr>
        <w:t>Databehandleravtalen</w:t>
      </w:r>
      <w:r>
        <w:t>") oppfyller kravet om databehan</w:t>
      </w:r>
      <w:r>
        <w:t xml:space="preserve">dleravtale etter personopplysningsloven. Databehandleravtalen angir Databehandlers rådighet over Personopplysninger som behandles på vegne av Behandlingsansvarlig, og angir Databehandlers ansvar for informasjonssikkerhet etter personopplysningsloven. </w:t>
      </w:r>
    </w:p>
    <w:p w14:paraId="4B08D2A0" w14:textId="77777777" w:rsidR="00F33279" w:rsidRDefault="00A555FE">
      <w:pPr>
        <w:pStyle w:val="Overskrift3"/>
      </w:pPr>
      <w:r>
        <w:t>Defi</w:t>
      </w:r>
      <w:r>
        <w:t>nisjoner</w:t>
      </w:r>
    </w:p>
    <w:p w14:paraId="2C851C18" w14:textId="77777777" w:rsidR="00F33279" w:rsidRDefault="00A555FE">
      <w:r>
        <w:t xml:space="preserve">I denne databehandleravtalen skal begrepene nedenfor ha den betydning som til enhver tid følger av personvernforordningen artikkel 4: </w:t>
      </w:r>
    </w:p>
    <w:p w14:paraId="099381A4" w14:textId="77777777" w:rsidR="00F33279" w:rsidRDefault="00A555FE">
      <w:r>
        <w:t>1) «personopplysninger» er enhver opplysning om en identifisert eller identifiserbar fysisk person («den registr</w:t>
      </w:r>
      <w:r>
        <w:t>erte»); en identifiserbar fysisk person er en person som direkte eller indirekte kan identifiseres, særlig ved hjelp av en identifikator, f.eks. et navn, et identifikasjonsnummer, lokaliseringsopplysninger, en nettidentifikator eller ett eller flere elemen</w:t>
      </w:r>
      <w:r>
        <w:t>ter som er spesifikke for nevnte fysiske persons fysiske, fysiologiske, genetiske, psykiske, økonomiske, kulturelle eller sosiale identitet,</w:t>
      </w:r>
    </w:p>
    <w:p w14:paraId="7AE1178A" w14:textId="77777777" w:rsidR="00F33279" w:rsidRDefault="00A555FE">
      <w:r>
        <w:t>2)«behandling» er enhver operasjon eller rekke av operasjoner som gjøres med personopplysninger, enten automatisert</w:t>
      </w:r>
      <w:r>
        <w:t xml:space="preserve"> eller ikke, f.eks. innsamling, registrering, organisering, strukturering, lagring, tilpasning eller endring, gjenfinning, konsultering, bruk, utlevering ved overføring, spredning eller alle andre former for tilgjengeliggjøring, sammenstilling eller samkjø</w:t>
      </w:r>
      <w:r>
        <w:t>ring, begrensning, sletting eller tilintetgjøring,</w:t>
      </w:r>
    </w:p>
    <w:p w14:paraId="2850F45B" w14:textId="77777777" w:rsidR="00F33279" w:rsidRDefault="00A555FE">
      <w:r>
        <w:lastRenderedPageBreak/>
        <w:t>3) «begrensning av behandling» er merking av lagrede personopplysninger med det som mål å begrense behandlingen av disse i framtiden,</w:t>
      </w:r>
    </w:p>
    <w:p w14:paraId="44BB1E33" w14:textId="77777777" w:rsidR="00F33279" w:rsidRDefault="00A555FE">
      <w:r>
        <w:t>4) «profilering» er enhver form for automatisert behandling av personop</w:t>
      </w:r>
      <w:r>
        <w:t>plysninger som innebærer å bruke personopplysninger for å vurdere visse personlige aspekter knyttet til en fysisk person, særlig for å analysere eller forutsi aspekter som gjelder nevnte fysiske persons arbeidsprestasjoner, økonomiske situasjon, helse, per</w:t>
      </w:r>
      <w:r>
        <w:t>sonlige preferanser, interesser, pålitelighet, atferd, plassering eller bevegelser»</w:t>
      </w:r>
    </w:p>
    <w:p w14:paraId="59826DE2" w14:textId="77777777" w:rsidR="00F33279" w:rsidRDefault="00A555FE">
      <w:r>
        <w:t>5) «pseudonymisering» behandling av personopplysninger på en slik måte at personopplysningene ikke lenger kan knyttes til en bestemt registrert uten bruk av tilleggsopplysn</w:t>
      </w:r>
      <w:r>
        <w:t>inger, forutsatt at nevnte tilleggsopplysninger lagres atskilt og omfattes av tekniske og organisatoriske tiltak som sikrer at personopplysningene ikke kan knyttes til en identifisert eller identifiserbar fysisk person,</w:t>
      </w:r>
    </w:p>
    <w:p w14:paraId="7BBE4B64" w14:textId="77777777" w:rsidR="00F33279" w:rsidRDefault="00A555FE">
      <w:r>
        <w:t xml:space="preserve">6) «register» er enhver strukturert </w:t>
      </w:r>
      <w:r>
        <w:t>samling av personopplysninger som er tilgjengelig etter særlige kriterier, enten samlingen er plassert sentralt, er desentralisert eller spredt på et funksjonelt eller geografisk grunnlag,</w:t>
      </w:r>
    </w:p>
    <w:p w14:paraId="4E5F48CB" w14:textId="77777777" w:rsidR="00F33279" w:rsidRDefault="00A555FE">
      <w:r>
        <w:t>7) «behandlingsansvarlig» er en fysisk eller juridisk person, en of</w:t>
      </w:r>
      <w:r>
        <w:t>fentlig myndighet, en institusjon eller ethvert annet organ som alene eller sammen med andre bestemmer formålet med behandlingen av personopplysninger og hvilke midler som skal benyttes; når formålet med og midlene for behandlingen er fastsatt i unionsrett</w:t>
      </w:r>
      <w:r>
        <w:t>en eller i medlemsstatenes nasjonale rett, kan den behandlingsansvarlige, eller de særlige kriteriene for utpeking av vedkommende, fastsettes i unionsretten eller i medlemsstatenes nasjonale rett,</w:t>
      </w:r>
    </w:p>
    <w:p w14:paraId="38786B30" w14:textId="77777777" w:rsidR="00F33279" w:rsidRDefault="00A555FE">
      <w:r>
        <w:t>8) «databehandler» er en fysisk eller juridisk person, offe</w:t>
      </w:r>
      <w:r>
        <w:t>ntlig myndighet, institusjon eller ethvert annet organ som behandler personopplysninger på vegne av den behandlingsansvarlige.</w:t>
      </w:r>
    </w:p>
    <w:p w14:paraId="7EB4E94D" w14:textId="77777777" w:rsidR="00F33279" w:rsidRDefault="00A555FE">
      <w:pPr>
        <w:pStyle w:val="Overskrift3"/>
      </w:pPr>
      <w:r>
        <w:t>Beskrivelse av behandlingen</w:t>
      </w:r>
    </w:p>
    <w:p w14:paraId="7D671925" w14:textId="77777777" w:rsidR="00F33279" w:rsidRDefault="00A555FE">
      <w:r>
        <w:t xml:space="preserve">Denne Databehandleravtalen gjelder all behandling av Personopplysninger som Databehandler utfører på </w:t>
      </w:r>
      <w:r>
        <w:t xml:space="preserve">vegne av den Behandlingsansvarlige i forbindelse med Tjenesten. Databehandleren kan bare behandle de kategorier av Personopplysninger som er forutsatt i Tjenesten og i den grad det er nødvendig for å levere og administrere Tjenesten. </w:t>
      </w:r>
    </w:p>
    <w:p w14:paraId="773C891D" w14:textId="77777777" w:rsidR="00F33279" w:rsidRDefault="00A555FE">
      <w:r>
        <w:t>Helsedirektoratet beh</w:t>
      </w:r>
      <w:r>
        <w:t xml:space="preserve">andler følgende personopplysninger i løsningen: </w:t>
      </w:r>
    </w:p>
    <w:p w14:paraId="6865144B" w14:textId="77777777" w:rsidR="00F33279" w:rsidRDefault="00A555FE">
      <w:pPr>
        <w:pStyle w:val="Listeavsnitt"/>
        <w:numPr>
          <w:ilvl w:val="0"/>
          <w:numId w:val="20"/>
        </w:numPr>
      </w:pPr>
      <w:r>
        <w:t>bruker-ID utstedt av Feide,</w:t>
      </w:r>
    </w:p>
    <w:p w14:paraId="08C87DB5" w14:textId="77777777" w:rsidR="00F33279" w:rsidRDefault="00A555FE">
      <w:pPr>
        <w:pStyle w:val="Listeavsnitt"/>
        <w:numPr>
          <w:ilvl w:val="0"/>
          <w:numId w:val="20"/>
        </w:numPr>
      </w:pPr>
      <w:r>
        <w:t xml:space="preserve">Brukerens ukemenyer </w:t>
      </w:r>
    </w:p>
    <w:p w14:paraId="0E8B30EB" w14:textId="77777777" w:rsidR="00F33279" w:rsidRDefault="00A555FE">
      <w:pPr>
        <w:pStyle w:val="Listeavsnitt"/>
        <w:numPr>
          <w:ilvl w:val="0"/>
          <w:numId w:val="20"/>
        </w:numPr>
      </w:pPr>
      <w:r>
        <w:t xml:space="preserve">eventuelt informasjon som brukeren legger inn i fritekstfelt. </w:t>
      </w:r>
    </w:p>
    <w:p w14:paraId="0CE068A3" w14:textId="77777777" w:rsidR="00F33279" w:rsidRDefault="00A555FE">
      <w:r>
        <w:t xml:space="preserve">Det er lagt inn veiledningstekst i løsningen som oppfordrer bruker til å ikke legge inn </w:t>
      </w:r>
      <w:r>
        <w:t xml:space="preserve">særlig kategori av personopplysninger i løsningen. </w:t>
      </w:r>
    </w:p>
    <w:p w14:paraId="181AF0B6" w14:textId="77777777" w:rsidR="00F33279" w:rsidRDefault="00A555FE">
      <w:r>
        <w:t xml:space="preserve">Bruker-ID Helsedirektoratet mottar fra Feide er ID-generert av Feide. Helsedirektoratet behandler derfor ikke fødselsnummer om brukeren. </w:t>
      </w:r>
    </w:p>
    <w:p w14:paraId="5C913222" w14:textId="77777777" w:rsidR="00F33279" w:rsidRDefault="00A555FE">
      <w:pPr>
        <w:pStyle w:val="Overskrift2"/>
      </w:pPr>
      <w:r>
        <w:lastRenderedPageBreak/>
        <w:t>Databehandlers plikter</w:t>
      </w:r>
    </w:p>
    <w:p w14:paraId="493D2F26" w14:textId="77777777" w:rsidR="00F33279" w:rsidRDefault="00A555FE">
      <w:pPr>
        <w:pStyle w:val="Overskrift3"/>
      </w:pPr>
      <w:r>
        <w:t xml:space="preserve">Etterlevelse av krav i lov og </w:t>
      </w:r>
      <w:r>
        <w:t>forskrift</w:t>
      </w:r>
    </w:p>
    <w:p w14:paraId="4B4694C1" w14:textId="77777777" w:rsidR="00F33279" w:rsidRDefault="00A555FE">
      <w:r>
        <w:t xml:space="preserve">I avtaleperioden skal Databehandler overholde alle relevante bestemmelser i personvernforordningen. </w:t>
      </w:r>
    </w:p>
    <w:p w14:paraId="6DC582AF" w14:textId="77777777" w:rsidR="00F33279" w:rsidRDefault="00A555FE">
      <w:r>
        <w:t>Databehandler skal ikke ved handling eller unnlatelse sette den Behandlingsansvarlige i en situasjon der Behandlingsansvarlig misligholder en ell</w:t>
      </w:r>
      <w:r>
        <w:t xml:space="preserve">er flere bestemmelser i personvernforordningen. </w:t>
      </w:r>
    </w:p>
    <w:p w14:paraId="4D3353DB" w14:textId="77777777" w:rsidR="00F33279" w:rsidRDefault="00A555FE">
      <w:r>
        <w:t xml:space="preserve">Databehandler skal samarbeide med og yte bistand til den Behandlingsansvarlige for å sikre at Behandlingsansvarlig overholder sine forpliktelser i henhold til personopplysningsregelverket. </w:t>
      </w:r>
    </w:p>
    <w:p w14:paraId="4524E222" w14:textId="77777777" w:rsidR="00F33279" w:rsidRDefault="00A555FE">
      <w:r>
        <w:t>Behandlingsansvar</w:t>
      </w:r>
      <w:r>
        <w:t>lig har, med mindre annet er avtalt eller følger av lov, rett til tilgang til og innsyn i personopplysningene som behandles på vegne av Behandlingsansvarlig og systemene som benyttes til dette formål.</w:t>
      </w:r>
    </w:p>
    <w:p w14:paraId="33040992" w14:textId="77777777" w:rsidR="00F33279" w:rsidRDefault="00A555FE">
      <w:r>
        <w:t>Databehandleren skal på forespørsel bistå Behandlingsan</w:t>
      </w:r>
      <w:r>
        <w:t>svarlig så langt det er mulig med oppfyllelse av de registrertes rettigheter etter personvernforordningen kapittel III gjennom egnede tekniske eller organisatoriske tiltak. Registrertes rettigheter til innsyn, endring og retting av informasjon er nærmere o</w:t>
      </w:r>
      <w:r>
        <w:t>mtalt i personvernerklæringen.</w:t>
      </w:r>
    </w:p>
    <w:p w14:paraId="3CEFEA00" w14:textId="77777777" w:rsidR="00F33279" w:rsidRDefault="00A555FE">
      <w:r>
        <w:t xml:space="preserve">Databehandler skal overholde de til enhver tid gjeldende instrukser og rutiner for behandling av Personopplysninger som Behandlingsansvarlig har vedtatt. </w:t>
      </w:r>
    </w:p>
    <w:p w14:paraId="5AF0D22C" w14:textId="77777777" w:rsidR="00F33279" w:rsidRDefault="00A555FE">
      <w:pPr>
        <w:pStyle w:val="Overskrift3"/>
      </w:pPr>
      <w:r>
        <w:t>Begrensninger vedrørende bruk</w:t>
      </w:r>
    </w:p>
    <w:p w14:paraId="63BBC975" w14:textId="77777777" w:rsidR="00F33279" w:rsidRDefault="00A555FE">
      <w:r>
        <w:t>Databehandler skal ikke behandle Persono</w:t>
      </w:r>
      <w:r>
        <w:t xml:space="preserve">pplysninger utover det som kreves for å levere og administrere Tjenesten til Behandlingsansvarlig i henhold til vilkår for bruk av Tjenesten. </w:t>
      </w:r>
    </w:p>
    <w:p w14:paraId="362C87CA" w14:textId="77777777" w:rsidR="00F33279" w:rsidRDefault="00A555FE">
      <w:r>
        <w:t>Databehandler skal påse at Personopplysninger ikke gis til utenforstående med mindre Behandlingsansvarlig har pål</w:t>
      </w:r>
      <w:r>
        <w:t xml:space="preserve">agt slik utlevering eller Databehandler er forpliktet til dette i medhold av lov. </w:t>
      </w:r>
    </w:p>
    <w:p w14:paraId="656214A4" w14:textId="77777777" w:rsidR="00F33279" w:rsidRDefault="00A555FE">
      <w:r>
        <w:t>Databehandler skal ikke ha rettigheter til eller eierskap over Personopplysninger som Databehandler får tilgang til som ledd i leveranse av Tjenesten.</w:t>
      </w:r>
    </w:p>
    <w:p w14:paraId="7EBEC39F" w14:textId="77777777" w:rsidR="00F33279" w:rsidRDefault="00A555FE">
      <w:r>
        <w:t xml:space="preserve">Dersom bruker ikke er </w:t>
      </w:r>
      <w:r>
        <w:t>aktiv på 24 måneder, så slettes alt som er registrert på bruker, det vil si ukemenyer, matretter, matvarer og næringsstoffer.</w:t>
      </w:r>
    </w:p>
    <w:p w14:paraId="7763A81D" w14:textId="77777777" w:rsidR="00F33279" w:rsidRDefault="00A555FE">
      <w:pPr>
        <w:pStyle w:val="Overskrift3"/>
      </w:pPr>
      <w:r>
        <w:t>Informasjonssikkerhet</w:t>
      </w:r>
    </w:p>
    <w:p w14:paraId="45355C64" w14:textId="77777777" w:rsidR="00F33279" w:rsidRDefault="00A555FE">
      <w:r>
        <w:t>Databehandler skal ved hjelp av planlagte, systematiske organisasjonsmessige og tekniske tiltak sikre tilfre</w:t>
      </w:r>
      <w:r>
        <w:t>dsstillende informasjonssikkerhet med hensyn til konfidensialitet, integritet og tilgjengelighet i forbindelse med behandling av Personopplysninger i henhold til Personvernforordningen artikkel 28 pkt.1., samt Personvernforordningen artikkel 32 pkt. 1. til</w:t>
      </w:r>
      <w:r>
        <w:t xml:space="preserve"> 4. </w:t>
      </w:r>
    </w:p>
    <w:p w14:paraId="2B264BE9" w14:textId="77777777" w:rsidR="00F33279" w:rsidRDefault="00A555FE">
      <w:pPr>
        <w:pStyle w:val="Overskrift3"/>
      </w:pPr>
      <w:r>
        <w:t>Dokumentasjon av sikkerhetstiltak</w:t>
      </w:r>
    </w:p>
    <w:p w14:paraId="773AEC7A" w14:textId="77777777" w:rsidR="00F33279" w:rsidRDefault="00A555FE">
      <w:r>
        <w:t xml:space="preserve">For å oppnå tilfredsstillende informasjonssikkerhet skal Databehandler, på forespørsel fra den Behandlingsansvarlige, fremlegge dokumentasjon for datasystemer og sikkerhetstiltak. Rutiner for bruk </w:t>
      </w:r>
      <w:r>
        <w:lastRenderedPageBreak/>
        <w:t>av informasjonssyste</w:t>
      </w:r>
      <w:r>
        <w:t>met og annen informasjon med betydning for informasjonssikkerheten, skal dokumenteres.</w:t>
      </w:r>
    </w:p>
    <w:p w14:paraId="2A8F056C" w14:textId="77777777" w:rsidR="00F33279" w:rsidRDefault="00A555FE">
      <w:pPr>
        <w:pStyle w:val="Overskrift3"/>
      </w:pPr>
      <w:r>
        <w:t>Avvik</w:t>
      </w:r>
    </w:p>
    <w:p w14:paraId="4BCFD8E0" w14:textId="77777777" w:rsidR="00F33279" w:rsidRDefault="00A555FE">
      <w:r>
        <w:t>Enhver bruk av informasjonssystemet som er i strid med Databehandlers fastlagte rutiner, den Behandlingsansvarliges instrukser eller Personvernforordningen, samt e</w:t>
      </w:r>
      <w:r>
        <w:t xml:space="preserve">thvert sikkerhetsbrudd, skal behandles som et avvik. </w:t>
      </w:r>
    </w:p>
    <w:p w14:paraId="7FBFDEA4" w14:textId="77777777" w:rsidR="00F33279" w:rsidRDefault="00A555FE">
      <w:r>
        <w:t xml:space="preserve">Databehandler skal ha på plass rutiner og systematiske tiltak for oppfølging av avvik, herunder tiltak for gjenoppretting av normal tilstand, fjerning av årsaken til avviket og hindre gjentakelse. </w:t>
      </w:r>
    </w:p>
    <w:p w14:paraId="7ECD2E8A" w14:textId="77777777" w:rsidR="00F33279" w:rsidRDefault="00A555FE">
      <w:r>
        <w:t>Data</w:t>
      </w:r>
      <w:r>
        <w:t>behandler skal rapportere avvik til den Behandlingsansvarlige uten ugrunnet opphold. Rapporten skal omfatte informasjon om hvilke tiltak Databehandler har gjort for å gjenopprette normal tilstand, fjerne årsaken til avviket og hindre gjentakelse. Databehan</w:t>
      </w:r>
      <w:r>
        <w:t xml:space="preserve">dler skal også gi Behandlingsansvarlig alle nødvendige opplysninger for å kunne besvare spørsmål fra datatilsynsmyndigheter og etterleve eventuelle krav om varsling til Datatilsynet og berørte registrerte. </w:t>
      </w:r>
    </w:p>
    <w:p w14:paraId="207F52CE" w14:textId="77777777" w:rsidR="00F33279" w:rsidRDefault="00A555FE">
      <w:pPr>
        <w:pStyle w:val="Overskrift3"/>
      </w:pPr>
      <w:r>
        <w:t>Sikkerhetsrevisjon</w:t>
      </w:r>
    </w:p>
    <w:p w14:paraId="4F986740" w14:textId="77777777" w:rsidR="00F33279" w:rsidRDefault="00A555FE">
      <w:r>
        <w:t>Databehandler er innforstått m</w:t>
      </w:r>
      <w:r>
        <w:t>ed at den Behandlingsansvarlige regelmessig og minst en gang årlig kan gjennomføre sikkerhetsrevisjoner av informasjonssystemet og tilhørende fasiliteter som benyttes av Databehandler for behandling av Personopplysninger på vegne den Behandlingsansvarlige.</w:t>
      </w:r>
      <w:r>
        <w:t xml:space="preserve"> </w:t>
      </w:r>
    </w:p>
    <w:p w14:paraId="24BDE7DB" w14:textId="77777777" w:rsidR="00F33279" w:rsidRDefault="00A555FE">
      <w:pPr>
        <w:pStyle w:val="Overskrift3"/>
      </w:pPr>
      <w:r>
        <w:t>Bruk av underleverandører</w:t>
      </w:r>
    </w:p>
    <w:p w14:paraId="24747BBA" w14:textId="77777777" w:rsidR="00F33279" w:rsidRDefault="00A555FE">
      <w:r>
        <w:t>Databehandler benytter Norsk Helsenett som underleverandør. Norsk Helsenett benytter igjen Microsoft som underleverandør. Databehandler er ansvarlig for arbeid som utføres av underleverandør, og skal påse at underleverandøren på</w:t>
      </w:r>
      <w:r>
        <w:t>tar seg ansvar i samsvar med forpliktelsene som angitt i denne Databehandleravtalen.  Ved ønske om endring i underleverandør skal den dataansvarlige underrettes i god tid, slik at det gis mulighet til å motsette seg endringen.</w:t>
      </w:r>
    </w:p>
    <w:p w14:paraId="23BB46C5" w14:textId="77777777" w:rsidR="00F33279" w:rsidRDefault="00A555FE">
      <w:pPr>
        <w:pStyle w:val="Overskrift3"/>
      </w:pPr>
      <w:bookmarkStart w:id="0" w:name="_Ref433373014"/>
      <w:r>
        <w:t>Overføring til utlandet</w:t>
      </w:r>
      <w:bookmarkEnd w:id="0"/>
    </w:p>
    <w:p w14:paraId="6296AFE2" w14:textId="77777777" w:rsidR="00F33279" w:rsidRDefault="00A555FE">
      <w:r>
        <w:t xml:space="preserve">Bruk </w:t>
      </w:r>
      <w:r>
        <w:t>av underleverandører som overfører personopplysninger til land utenfor EU/EØS (tredjeland) skal avtales skriftlig med Dataansvarlig på forhånd. Ved overføring av personopplysninger til land utenfor EU/EØS (tredjeland) skal Databehandler benytte godkjente E</w:t>
      </w:r>
      <w:r>
        <w:t>U-overføringsmekanismer.</w:t>
      </w:r>
    </w:p>
    <w:p w14:paraId="49E65368" w14:textId="77777777" w:rsidR="00F33279" w:rsidRDefault="00A555FE">
      <w:r>
        <w:t>Dataene i Kostholdsplanleggeren behandles på servere i EU og lagres i database i skyløsning i Norge fra Microsoft. Ved behov for tilgang til personopplysninger ved support fra Microsoftpersonell fra andre land, vil en overføring av</w:t>
      </w:r>
      <w:r>
        <w:t xml:space="preserve"> opplysninger kun skje der det er strengt nødvendig og etter inngått Standard Contractual Clauses. Databehandler vil ikke overføre direkte identifiserbare er personopplysninger utenfor EØS-området ved slik eventuelt behov for support. </w:t>
      </w:r>
    </w:p>
    <w:p w14:paraId="241AA29C" w14:textId="77777777" w:rsidR="00F33279" w:rsidRDefault="00A555FE">
      <w:pPr>
        <w:pStyle w:val="Overskrift3"/>
      </w:pPr>
      <w:r>
        <w:t>Konfidensialitet</w:t>
      </w:r>
    </w:p>
    <w:p w14:paraId="2CDD0EBE" w14:textId="77777777" w:rsidR="00F33279" w:rsidRDefault="00A555FE">
      <w:r>
        <w:t>Databehandleren påtar seg å ivareta taushet om enhver opplysning som behandles på vegne av den Behandlingsansvarlige i henhold til vilkår for bruk av Tjenesten eller denne databehandleravtalen. Taushetsplikten omfatter også annen informasjon av betydning f</w:t>
      </w:r>
      <w:r>
        <w:t xml:space="preserve">or informasjonssikkerheten. Taushetsplikten skal også gjelde etter utløpet av denne Databehandleravtalen. </w:t>
      </w:r>
    </w:p>
    <w:p w14:paraId="378B6138" w14:textId="77777777" w:rsidR="00F33279" w:rsidRDefault="00A555FE">
      <w:r>
        <w:lastRenderedPageBreak/>
        <w:t xml:space="preserve">Databehandler skal påse at godkjente underleverandører som behandler Personopplysninger på vegne av den Behandlingsansvarlige i henhold til pkt. 4.8 </w:t>
      </w:r>
      <w:r>
        <w:t xml:space="preserve">er kjent med denne Databehandleravtalen og sørge for at de er underlagt vilkårene i denne, herunder kravene til konfidensialitet. </w:t>
      </w:r>
    </w:p>
    <w:p w14:paraId="791D8525" w14:textId="77777777" w:rsidR="00F33279" w:rsidRDefault="00A555FE">
      <w:pPr>
        <w:spacing w:line="240" w:lineRule="auto"/>
      </w:pPr>
      <w:r>
        <w:t>Kostholdsplanleggeren har tilgangsstyring slik at bare autorisert personell hos Databehandler og underleverandører har tilgan</w:t>
      </w:r>
      <w:r>
        <w:t xml:space="preserve">g. </w:t>
      </w:r>
    </w:p>
    <w:p w14:paraId="7C89DA8B" w14:textId="77777777" w:rsidR="00F33279" w:rsidRDefault="00A555FE">
      <w:pPr>
        <w:pStyle w:val="Overskrift2"/>
      </w:pPr>
      <w:r>
        <w:t>Varighet og opphør av Databehandleravtalen</w:t>
      </w:r>
    </w:p>
    <w:p w14:paraId="4F91FB4F" w14:textId="77777777" w:rsidR="00F33279" w:rsidRDefault="00A555FE">
      <w:r>
        <w:t xml:space="preserve">Denne Databehandleravtalen gjelder fra den dato begge parter har signert Databehandleravtalen og frem til Behandlingsansvarlig slutter å bruke Tjenesten, bortsett fra eventuelle vilkår som i henhold til denne </w:t>
      </w:r>
      <w:r>
        <w:t xml:space="preserve">Databehandleravtalen eller vilkår for bruk av Tjenesten skal fortsette å ha virkning etter opphør. </w:t>
      </w:r>
    </w:p>
    <w:p w14:paraId="2E62E66F" w14:textId="77777777" w:rsidR="00F33279" w:rsidRDefault="00A555FE">
      <w:r>
        <w:t xml:space="preserve">Databehandler vil da slette opplysningene som behandles på vegne av den Behandlingsansvarlige. </w:t>
      </w:r>
    </w:p>
    <w:p w14:paraId="232EF6E9" w14:textId="77777777" w:rsidR="00F33279" w:rsidRDefault="00A555FE">
      <w:r>
        <w:t>Databehandleren har ingen rett til å beholde kopier av opply</w:t>
      </w:r>
      <w:r>
        <w:t xml:space="preserve">sninger i noe som helst format. </w:t>
      </w:r>
    </w:p>
    <w:p w14:paraId="5BC3002A" w14:textId="77777777" w:rsidR="00F33279" w:rsidRDefault="00A555FE">
      <w:r>
        <w:t>Den Behandlingsansvarlige skal motta en skriftlig erklæring fra Databehandleren om at samtlige opplysninger enten er tilbakelevert eller slettet i samsvar med eventuell instruks fra den Behandlingsansvarlige, og at Databeha</w:t>
      </w:r>
      <w:r>
        <w:t xml:space="preserve">ndleren ikke har beholdt noen kopi, utskrift eller annen fremstilling av opplysninger på noe som helst medium. </w:t>
      </w:r>
    </w:p>
    <w:p w14:paraId="62EA3BF3" w14:textId="77777777" w:rsidR="00F33279" w:rsidRDefault="00A555FE">
      <w:r>
        <w:t>Ved brudd på Databehandleravtalen og/eller gjeldende personvernregler, kan Behandlingsansvarlig og aktuelle tilsynsmyndigheter pålegge Databehan</w:t>
      </w:r>
      <w:r>
        <w:t>dler å stoppe hele eller deler av behandlingen av opplysningene med øyeblikkelig virkning.</w:t>
      </w:r>
    </w:p>
    <w:p w14:paraId="4F0ABA4F" w14:textId="77777777" w:rsidR="00F33279" w:rsidRDefault="00A555FE">
      <w:pPr>
        <w:pStyle w:val="Overskrift3"/>
      </w:pPr>
      <w:r>
        <w:t>Lovvalg og tvisteløsning</w:t>
      </w:r>
    </w:p>
    <w:p w14:paraId="699A4B27" w14:textId="77777777" w:rsidR="00F33279" w:rsidRDefault="00A555FE">
      <w:r>
        <w:t>Partenes rettigheter og plikter etter denne Databehandleravtalen bestemmes i sin helhet etter norsk rett.</w:t>
      </w:r>
    </w:p>
    <w:p w14:paraId="5F420AEE" w14:textId="77777777" w:rsidR="00F33279" w:rsidRDefault="00A555FE">
      <w:r>
        <w:t>Oslo tingrett vedtas som eksklusiv</w:t>
      </w:r>
      <w:r>
        <w:t xml:space="preserve">t verneting. </w:t>
      </w:r>
    </w:p>
    <w:p w14:paraId="03AA3EA8" w14:textId="77777777" w:rsidR="00F33279" w:rsidRDefault="00A555FE">
      <w:r>
        <w:t>Partene kan som alternativ til domstolsbehandling avtale at tvisten avgjøres med endelig virkning ved voldgift.</w:t>
      </w:r>
    </w:p>
    <w:p w14:paraId="35325F9D" w14:textId="77777777" w:rsidR="00F33279" w:rsidRDefault="00F33279">
      <w:pPr>
        <w:pageBreakBefore/>
        <w:suppressAutoHyphens w:val="0"/>
        <w:spacing w:after="160" w:line="240" w:lineRule="auto"/>
      </w:pPr>
    </w:p>
    <w:p w14:paraId="688AE6CB" w14:textId="77777777" w:rsidR="00F33279" w:rsidRDefault="00A555FE">
      <w:pPr>
        <w:pStyle w:val="Overskrift2"/>
      </w:pPr>
      <w:r>
        <w:t>Signatur</w:t>
      </w:r>
    </w:p>
    <w:p w14:paraId="33C4F501" w14:textId="77777777" w:rsidR="00F33279" w:rsidRDefault="00A555FE">
      <w:r>
        <w:t>Databehandleravtalen er utstedt i 2 – (to) – eksemplarer, hvorav partene beholder hvert sitt.</w:t>
      </w:r>
    </w:p>
    <w:p w14:paraId="25F7F97D" w14:textId="77777777" w:rsidR="00F33279" w:rsidRDefault="00F33279"/>
    <w:p w14:paraId="352AE6E2" w14:textId="77777777" w:rsidR="00F33279" w:rsidRDefault="00A555FE">
      <w:r>
        <w:rPr>
          <w:b/>
        </w:rPr>
        <w:t>Brukeren av Kostholdsplan</w:t>
      </w:r>
      <w:r>
        <w:rPr>
          <w:b/>
        </w:rPr>
        <w:t>leggeren</w:t>
      </w:r>
      <w:r>
        <w:tab/>
      </w:r>
      <w:r>
        <w:tab/>
        <w:t>[</w:t>
      </w:r>
      <w:r>
        <w:rPr>
          <w:b/>
        </w:rPr>
        <w:t>Helsedirektoratet</w:t>
      </w:r>
      <w:r>
        <w:t>]</w:t>
      </w:r>
    </w:p>
    <w:p w14:paraId="49E847F7" w14:textId="77777777" w:rsidR="00F33279" w:rsidRDefault="00F33279">
      <w:pPr>
        <w:rPr>
          <w:b/>
        </w:rPr>
      </w:pPr>
    </w:p>
    <w:p w14:paraId="6F1D9CBA" w14:textId="77777777" w:rsidR="00F33279" w:rsidRDefault="00A555FE">
      <w:r>
        <w:t>Dato: ………………………………….</w:t>
      </w:r>
      <w:r>
        <w:tab/>
      </w:r>
      <w:r>
        <w:tab/>
      </w:r>
      <w:r>
        <w:tab/>
      </w:r>
      <w:r>
        <w:rPr>
          <w:lang w:val="da-DK"/>
        </w:rPr>
        <w:t>Dato: ………………………………………</w:t>
      </w:r>
    </w:p>
    <w:p w14:paraId="5E128F25" w14:textId="77777777" w:rsidR="00F33279" w:rsidRDefault="00F33279">
      <w:pPr>
        <w:rPr>
          <w:lang w:val="da-DK"/>
        </w:rPr>
      </w:pPr>
    </w:p>
    <w:p w14:paraId="090A56C9" w14:textId="77777777" w:rsidR="00F33279" w:rsidRDefault="00F33279">
      <w:pPr>
        <w:rPr>
          <w:lang w:val="da-DK"/>
        </w:rPr>
      </w:pPr>
    </w:p>
    <w:p w14:paraId="6CB0166A" w14:textId="77777777" w:rsidR="00F33279" w:rsidRDefault="00A555FE">
      <w:pPr>
        <w:rPr>
          <w:lang w:val="da-DK"/>
        </w:rPr>
      </w:pPr>
      <w:r>
        <w:rPr>
          <w:lang w:val="da-DK"/>
        </w:rPr>
        <w:t>Signatur: ………………………………</w:t>
      </w:r>
      <w:r>
        <w:rPr>
          <w:lang w:val="da-DK"/>
        </w:rPr>
        <w:tab/>
      </w:r>
      <w:r>
        <w:rPr>
          <w:lang w:val="da-DK"/>
        </w:rPr>
        <w:tab/>
      </w:r>
      <w:r>
        <w:rPr>
          <w:lang w:val="da-DK"/>
        </w:rPr>
        <w:tab/>
        <w:t>Signatur: ………………………………….</w:t>
      </w:r>
    </w:p>
    <w:p w14:paraId="3A58BF98" w14:textId="77777777" w:rsidR="00F33279" w:rsidRDefault="00F33279">
      <w:pPr>
        <w:rPr>
          <w:lang w:val="da-DK"/>
        </w:rPr>
      </w:pPr>
    </w:p>
    <w:p w14:paraId="79BAF106" w14:textId="77777777" w:rsidR="00F33279" w:rsidRDefault="00F33279">
      <w:pPr>
        <w:rPr>
          <w:lang w:val="da-DK"/>
        </w:rPr>
      </w:pPr>
    </w:p>
    <w:p w14:paraId="13BD65F9" w14:textId="77777777" w:rsidR="00F33279" w:rsidRDefault="00A555FE">
      <w:pPr>
        <w:rPr>
          <w:lang w:val="da-DK"/>
        </w:rPr>
      </w:pPr>
      <w:r>
        <w:rPr>
          <w:lang w:val="da-DK"/>
        </w:rPr>
        <w:t>Navn: …………………………………</w:t>
      </w:r>
      <w:r>
        <w:rPr>
          <w:lang w:val="da-DK"/>
        </w:rPr>
        <w:tab/>
      </w:r>
      <w:r>
        <w:rPr>
          <w:lang w:val="da-DK"/>
        </w:rPr>
        <w:tab/>
      </w:r>
      <w:r>
        <w:rPr>
          <w:lang w:val="da-DK"/>
        </w:rPr>
        <w:tab/>
        <w:t>Navn: ……………………………………..</w:t>
      </w:r>
    </w:p>
    <w:p w14:paraId="63FDBF6C" w14:textId="77777777" w:rsidR="00F33279" w:rsidRDefault="00F33279">
      <w:pPr>
        <w:rPr>
          <w:lang w:val="da-DK"/>
        </w:rPr>
      </w:pPr>
    </w:p>
    <w:p w14:paraId="18A57465" w14:textId="77777777" w:rsidR="00F33279" w:rsidRDefault="00A555FE">
      <w:r>
        <w:t>Tittel: …………………………………</w:t>
      </w:r>
      <w:r>
        <w:tab/>
      </w:r>
      <w:r>
        <w:tab/>
      </w:r>
      <w:r>
        <w:tab/>
        <w:t>Tittel: ……………………………………..</w:t>
      </w:r>
    </w:p>
    <w:p w14:paraId="1E6EF839" w14:textId="77777777" w:rsidR="00F33279" w:rsidRDefault="00F33279"/>
    <w:sectPr w:rsidR="00F33279">
      <w:headerReference w:type="default" r:id="rId7"/>
      <w:footerReference w:type="default" r:id="rId8"/>
      <w:headerReference w:type="first" r:id="rId9"/>
      <w:pgSz w:w="11906" w:h="16838"/>
      <w:pgMar w:top="1560" w:right="987" w:bottom="1588" w:left="1531" w:header="851"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16FE" w14:textId="77777777" w:rsidR="00A555FE" w:rsidRDefault="00A555FE">
      <w:pPr>
        <w:spacing w:after="0" w:line="240" w:lineRule="auto"/>
      </w:pPr>
      <w:r>
        <w:separator/>
      </w:r>
    </w:p>
  </w:endnote>
  <w:endnote w:type="continuationSeparator" w:id="0">
    <w:p w14:paraId="7976D48C" w14:textId="77777777" w:rsidR="00A555FE" w:rsidRDefault="00A5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33D7" w14:textId="77777777" w:rsidR="00A555FE" w:rsidRDefault="00A555FE">
    <w:pPr>
      <w:pStyle w:val="Bunntekst"/>
      <w:jc w:val="right"/>
    </w:pPr>
    <w:r>
      <w:fldChar w:fldCharType="begin"/>
    </w:r>
    <w:r>
      <w:instrText xml:space="preserve"> PAGE </w:instrText>
    </w:r>
    <w:r>
      <w:fldChar w:fldCharType="separate"/>
    </w:r>
    <w:r>
      <w:t>2</w:t>
    </w:r>
    <w:r>
      <w:fldChar w:fldCharType="end"/>
    </w:r>
  </w:p>
  <w:p w14:paraId="0D7EA53C" w14:textId="77777777" w:rsidR="00A555FE" w:rsidRDefault="00A555F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58A8" w14:textId="77777777" w:rsidR="00A555FE" w:rsidRDefault="00A555FE">
      <w:pPr>
        <w:spacing w:after="0" w:line="240" w:lineRule="auto"/>
      </w:pPr>
      <w:r>
        <w:rPr>
          <w:color w:val="000000"/>
        </w:rPr>
        <w:separator/>
      </w:r>
    </w:p>
  </w:footnote>
  <w:footnote w:type="continuationSeparator" w:id="0">
    <w:p w14:paraId="017A912C" w14:textId="77777777" w:rsidR="00A555FE" w:rsidRDefault="00A5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B426" w14:textId="77777777" w:rsidR="00A555FE" w:rsidRDefault="00A555FE">
    <w:pPr>
      <w:pStyle w:val="Ingenmellomrom"/>
      <w:jc w:val="right"/>
    </w:pPr>
    <w:r>
      <w:t>Databehandleravtale Kostholdsplanleggeren</w:t>
    </w:r>
  </w:p>
  <w:p w14:paraId="6739E514" w14:textId="77777777" w:rsidR="00A555FE" w:rsidRDefault="00A555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02D2" w14:textId="77777777" w:rsidR="00A555FE" w:rsidRDefault="00A555FE">
    <w:pPr>
      <w:pStyle w:val="Ingenmellomrom"/>
      <w:jc w:val="right"/>
    </w:pPr>
    <w:r>
      <w:t>Databehandleravtale Kostholdsplanleggeren, sist oppdatert 28.9.23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D54"/>
    <w:multiLevelType w:val="multilevel"/>
    <w:tmpl w:val="B4327892"/>
    <w:styleLink w:val="WWOutlineListStyle6"/>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2D4BB2"/>
    <w:multiLevelType w:val="multilevel"/>
    <w:tmpl w:val="64A6D52A"/>
    <w:styleLink w:val="WWOutlineListStyle5"/>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25D1AFB"/>
    <w:multiLevelType w:val="multilevel"/>
    <w:tmpl w:val="83CE103A"/>
    <w:styleLink w:val="WWOutlineListStyle10"/>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69B7EE2"/>
    <w:multiLevelType w:val="multilevel"/>
    <w:tmpl w:val="FF866402"/>
    <w:styleLink w:val="WWOutlineListStyle14"/>
    <w:lvl w:ilvl="0">
      <w:start w:val="1"/>
      <w:numFmt w:val="decimal"/>
      <w:lvlText w:val="%1"/>
      <w:lvlJc w:val="left"/>
      <w:pPr>
        <w:ind w:left="851" w:hanging="851"/>
      </w:pPr>
      <w:rPr>
        <w:b/>
        <w:i w:val="0"/>
      </w:rPr>
    </w:lvl>
    <w:lvl w:ilvl="1">
      <w:start w:val="1"/>
      <w:numFmt w:val="none"/>
      <w:lvlText w:val="%2"/>
      <w:lvlJc w:val="left"/>
    </w:lvl>
    <w:lvl w:ilvl="2">
      <w:start w:val="1"/>
      <w:numFmt w:val="none"/>
      <w:lvlText w:val="%3"/>
      <w:lvlJc w:val="left"/>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77F1362"/>
    <w:multiLevelType w:val="multilevel"/>
    <w:tmpl w:val="AA04F3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Overskrift4"/>
      <w:lvlText w:val="%1.%2.%3.%4"/>
      <w:lvlJc w:val="left"/>
      <w:pPr>
        <w:ind w:left="851" w:hanging="851"/>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FA24B1D"/>
    <w:multiLevelType w:val="multilevel"/>
    <w:tmpl w:val="C5CCAFBE"/>
    <w:styleLink w:val="WWOutlineListStyle4"/>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255579D"/>
    <w:multiLevelType w:val="multilevel"/>
    <w:tmpl w:val="B7689814"/>
    <w:styleLink w:val="WWOutlineListStyle7"/>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7B742B9"/>
    <w:multiLevelType w:val="multilevel"/>
    <w:tmpl w:val="09EE3124"/>
    <w:styleLink w:val="WWOutlineListStyle"/>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B9C0658"/>
    <w:multiLevelType w:val="multilevel"/>
    <w:tmpl w:val="2E46BF72"/>
    <w:styleLink w:val="WWOutlineListStyle13"/>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450627A"/>
    <w:multiLevelType w:val="multilevel"/>
    <w:tmpl w:val="50C89376"/>
    <w:styleLink w:val="WWOutlineListStyle2"/>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5D77B94"/>
    <w:multiLevelType w:val="multilevel"/>
    <w:tmpl w:val="4FB2E328"/>
    <w:styleLink w:val="WWOutlineListStyle3"/>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BEF295F"/>
    <w:multiLevelType w:val="multilevel"/>
    <w:tmpl w:val="C6A2B58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2" w15:restartNumberingAfterBreak="0">
    <w:nsid w:val="61A40F90"/>
    <w:multiLevelType w:val="multilevel"/>
    <w:tmpl w:val="99467AC6"/>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8B40865"/>
    <w:multiLevelType w:val="multilevel"/>
    <w:tmpl w:val="5598338E"/>
    <w:styleLink w:val="WWOutlineListStyle15"/>
    <w:lvl w:ilvl="0">
      <w:start w:val="1"/>
      <w:numFmt w:val="decimal"/>
      <w:lvlText w:val="%1"/>
      <w:lvlJc w:val="left"/>
      <w:pPr>
        <w:ind w:left="851" w:hanging="851"/>
      </w:pPr>
      <w:rPr>
        <w:b/>
        <w:i w:val="0"/>
      </w:rPr>
    </w:lvl>
    <w:lvl w:ilvl="1">
      <w:start w:val="1"/>
      <w:numFmt w:val="none"/>
      <w:lvlText w:val="%2"/>
      <w:lvlJc w:val="left"/>
    </w:lvl>
    <w:lvl w:ilvl="2">
      <w:start w:val="1"/>
      <w:numFmt w:val="none"/>
      <w:lvlText w:val="%3"/>
      <w:lvlJc w:val="left"/>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AF6F3E"/>
    <w:multiLevelType w:val="multilevel"/>
    <w:tmpl w:val="C74AE75E"/>
    <w:styleLink w:val="WWOutlineListStyle11"/>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E8770FC"/>
    <w:multiLevelType w:val="multilevel"/>
    <w:tmpl w:val="999EECAC"/>
    <w:styleLink w:val="WWOutlineListStyle1"/>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0F122AF"/>
    <w:multiLevelType w:val="multilevel"/>
    <w:tmpl w:val="9C48F8AC"/>
    <w:styleLink w:val="WWOutlineListStyle12"/>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55A569A"/>
    <w:multiLevelType w:val="multilevel"/>
    <w:tmpl w:val="41B2C46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FB6473"/>
    <w:multiLevelType w:val="multilevel"/>
    <w:tmpl w:val="A218E8B2"/>
    <w:styleLink w:val="WWOutlineListStyle8"/>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E5B4A76"/>
    <w:multiLevelType w:val="multilevel"/>
    <w:tmpl w:val="CD0A88EC"/>
    <w:styleLink w:val="WWOutlineListStyle9"/>
    <w:lvl w:ilvl="0">
      <w:start w:val="1"/>
      <w:numFmt w:val="decimal"/>
      <w:lvlText w:val="%1"/>
      <w:lvlJc w:val="left"/>
      <w:pPr>
        <w:ind w:left="851" w:hanging="851"/>
      </w:pPr>
      <w:rPr>
        <w:b/>
        <w:i w:val="0"/>
      </w:rPr>
    </w:lvl>
    <w:lvl w:ilvl="1">
      <w:start w:val="1"/>
      <w:numFmt w:val="decimal"/>
      <w:lvlText w:val="%1.%2"/>
      <w:lvlJc w:val="left"/>
      <w:pPr>
        <w:ind w:left="851" w:hanging="851"/>
      </w:pPr>
      <w:rPr>
        <w:b/>
        <w:i w:val="0"/>
      </w:rPr>
    </w:lvl>
    <w:lvl w:ilvl="2">
      <w:start w:val="1"/>
      <w:numFmt w:val="decimal"/>
      <w:lvlText w:val="%1.%2.%3"/>
      <w:lvlJc w:val="left"/>
      <w:pPr>
        <w:ind w:left="851" w:hanging="851"/>
      </w:pPr>
      <w:rPr>
        <w:b w:val="0"/>
        <w:i w:val="0"/>
      </w:r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86943838">
    <w:abstractNumId w:val="4"/>
  </w:num>
  <w:num w:numId="2" w16cid:durableId="510022887">
    <w:abstractNumId w:val="17"/>
  </w:num>
  <w:num w:numId="3" w16cid:durableId="1248147975">
    <w:abstractNumId w:val="12"/>
  </w:num>
  <w:num w:numId="4" w16cid:durableId="687678853">
    <w:abstractNumId w:val="13"/>
  </w:num>
  <w:num w:numId="5" w16cid:durableId="292372678">
    <w:abstractNumId w:val="3"/>
  </w:num>
  <w:num w:numId="6" w16cid:durableId="1950550312">
    <w:abstractNumId w:val="8"/>
  </w:num>
  <w:num w:numId="7" w16cid:durableId="857159819">
    <w:abstractNumId w:val="16"/>
  </w:num>
  <w:num w:numId="8" w16cid:durableId="1108961530">
    <w:abstractNumId w:val="14"/>
  </w:num>
  <w:num w:numId="9" w16cid:durableId="2132480827">
    <w:abstractNumId w:val="2"/>
  </w:num>
  <w:num w:numId="10" w16cid:durableId="417021184">
    <w:abstractNumId w:val="19"/>
  </w:num>
  <w:num w:numId="11" w16cid:durableId="1348292220">
    <w:abstractNumId w:val="18"/>
  </w:num>
  <w:num w:numId="12" w16cid:durableId="1921324529">
    <w:abstractNumId w:val="6"/>
  </w:num>
  <w:num w:numId="13" w16cid:durableId="684139953">
    <w:abstractNumId w:val="1"/>
  </w:num>
  <w:num w:numId="14" w16cid:durableId="1234388427">
    <w:abstractNumId w:val="5"/>
  </w:num>
  <w:num w:numId="15" w16cid:durableId="440153109">
    <w:abstractNumId w:val="10"/>
  </w:num>
  <w:num w:numId="16" w16cid:durableId="1085147132">
    <w:abstractNumId w:val="9"/>
  </w:num>
  <w:num w:numId="17" w16cid:durableId="236480843">
    <w:abstractNumId w:val="15"/>
  </w:num>
  <w:num w:numId="18" w16cid:durableId="1300502328">
    <w:abstractNumId w:val="7"/>
  </w:num>
  <w:num w:numId="19" w16cid:durableId="1894152063">
    <w:abstractNumId w:val="0"/>
  </w:num>
  <w:num w:numId="20" w16cid:durableId="154104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33279"/>
    <w:rsid w:val="00684FE7"/>
    <w:rsid w:val="00A555FE"/>
    <w:rsid w:val="00F332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F41E"/>
  <w15:docId w15:val="{FA672763-75CE-44C1-B308-A6864ED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paragraph" w:styleId="Overskrift1">
    <w:name w:val="heading 1"/>
    <w:basedOn w:val="Normal"/>
    <w:next w:val="Normal"/>
    <w:uiPriority w:val="9"/>
    <w:qFormat/>
    <w:pPr>
      <w:keepNext/>
      <w:spacing w:before="320" w:after="120" w:line="264" w:lineRule="exact"/>
      <w:ind w:left="851" w:hanging="851"/>
      <w:jc w:val="both"/>
      <w:outlineLvl w:val="0"/>
    </w:pPr>
    <w:rPr>
      <w:rFonts w:cs="Calibri"/>
      <w:kern w:val="3"/>
      <w:sz w:val="56"/>
      <w:szCs w:val="52"/>
      <w:lang w:eastAsia="nb-NO"/>
    </w:rPr>
  </w:style>
  <w:style w:type="paragraph" w:styleId="Overskrift2">
    <w:name w:val="heading 2"/>
    <w:basedOn w:val="Normal"/>
    <w:next w:val="Normal"/>
    <w:uiPriority w:val="9"/>
    <w:unhideWhenUsed/>
    <w:qFormat/>
    <w:pPr>
      <w:keepNext/>
      <w:spacing w:before="240" w:after="240" w:line="240" w:lineRule="auto"/>
      <w:outlineLvl w:val="1"/>
    </w:pPr>
    <w:rPr>
      <w:rFonts w:cs="Calibri"/>
      <w:b/>
      <w:bCs/>
      <w:iCs/>
      <w:sz w:val="24"/>
      <w:szCs w:val="28"/>
      <w:lang w:eastAsia="nb-NO"/>
    </w:rPr>
  </w:style>
  <w:style w:type="paragraph" w:styleId="Overskrift3">
    <w:name w:val="heading 3"/>
    <w:basedOn w:val="Normal"/>
    <w:next w:val="Normal"/>
    <w:uiPriority w:val="9"/>
    <w:unhideWhenUsed/>
    <w:qFormat/>
    <w:pPr>
      <w:keepNext/>
      <w:spacing w:before="240" w:after="120" w:line="264" w:lineRule="exact"/>
      <w:ind w:left="851" w:hanging="851"/>
      <w:jc w:val="both"/>
      <w:outlineLvl w:val="2"/>
    </w:pPr>
    <w:rPr>
      <w:rFonts w:cs="Calibri"/>
      <w:b/>
      <w:iCs/>
      <w:szCs w:val="26"/>
      <w:lang w:eastAsia="nb-NO"/>
    </w:rPr>
  </w:style>
  <w:style w:type="paragraph" w:styleId="Overskrift4">
    <w:name w:val="heading 4"/>
    <w:basedOn w:val="Normal"/>
    <w:next w:val="Normal"/>
    <w:uiPriority w:val="9"/>
    <w:semiHidden/>
    <w:unhideWhenUsed/>
    <w:qFormat/>
    <w:pPr>
      <w:keepNext/>
      <w:keepLines/>
      <w:numPr>
        <w:ilvl w:val="3"/>
        <w:numId w:val="1"/>
      </w:numPr>
      <w:spacing w:before="240" w:after="120" w:line="264" w:lineRule="exact"/>
      <w:jc w:val="both"/>
      <w:outlineLvl w:val="3"/>
    </w:pPr>
    <w:rPr>
      <w:rFonts w:ascii="Times New Roman" w:eastAsia="Times New Roman" w:hAnsi="Times New Roman"/>
      <w:bCs/>
      <w:iCs/>
      <w:sz w:val="21"/>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customStyle="1" w:styleId="WWOutlineListStyle18">
    <w:name w:val="WW_OutlineListStyle_18"/>
    <w:basedOn w:val="Ingenliste"/>
    <w:pPr>
      <w:numPr>
        <w:numId w:val="1"/>
      </w:numPr>
    </w:pPr>
  </w:style>
  <w:style w:type="paragraph" w:customStyle="1" w:styleId="Default">
    <w:name w:val="Default"/>
    <w:pPr>
      <w:autoSpaceDE w:val="0"/>
      <w:spacing w:after="0"/>
      <w:textAlignment w:val="auto"/>
    </w:pPr>
    <w:rPr>
      <w:rFonts w:cs="Calibri"/>
      <w:color w:val="000000"/>
      <w:sz w:val="24"/>
      <w:szCs w:val="24"/>
    </w:rPr>
  </w:style>
  <w:style w:type="paragraph" w:styleId="Listeavsnitt">
    <w:name w:val="List Paragraph"/>
    <w:basedOn w:val="Normal"/>
    <w:pPr>
      <w:suppressAutoHyphens w:val="0"/>
      <w:spacing w:after="160" w:line="240" w:lineRule="auto"/>
      <w:ind w:left="720"/>
      <w:contextualSpacing/>
      <w:textAlignment w:val="auto"/>
    </w:pPr>
    <w:rPr>
      <w:rFonts w:cs="Calibri"/>
    </w:rPr>
  </w:style>
  <w:style w:type="character" w:styleId="Merknadsreferanse">
    <w:name w:val="annotation reference"/>
    <w:basedOn w:val="Standardskriftforavsnitt"/>
    <w:rPr>
      <w:sz w:val="16"/>
      <w:szCs w:val="16"/>
    </w:rPr>
  </w:style>
  <w:style w:type="paragraph" w:styleId="Merknadstekst">
    <w:name w:val="annotation text"/>
    <w:basedOn w:val="Normal"/>
    <w:pPr>
      <w:spacing w:line="240" w:lineRule="auto"/>
    </w:pPr>
    <w:rPr>
      <w:sz w:val="20"/>
      <w:szCs w:val="20"/>
    </w:rPr>
  </w:style>
  <w:style w:type="character" w:customStyle="1" w:styleId="MerknadstekstTegn">
    <w:name w:val="Merknadstekst Tegn"/>
    <w:basedOn w:val="Standardskriftforavsnitt"/>
    <w:rPr>
      <w:sz w:val="20"/>
      <w:szCs w:val="20"/>
    </w:rPr>
  </w:style>
  <w:style w:type="paragraph" w:styleId="Tittel">
    <w:name w:val="Title"/>
    <w:basedOn w:val="Normal"/>
    <w:next w:val="Normal"/>
    <w:uiPriority w:val="10"/>
    <w:qFormat/>
    <w:pPr>
      <w:spacing w:after="0" w:line="240" w:lineRule="auto"/>
      <w:contextualSpacing/>
    </w:pPr>
    <w:rPr>
      <w:rFonts w:ascii="Calibri Light" w:eastAsia="Times New Roman" w:hAnsi="Calibri Light"/>
      <w:spacing w:val="-10"/>
      <w:kern w:val="3"/>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Ingenmellomrom">
    <w:name w:val="No Spacing"/>
    <w:pPr>
      <w:suppressAutoHyphens/>
      <w:spacing w:after="0"/>
    </w:pPr>
  </w:style>
  <w:style w:type="character" w:customStyle="1" w:styleId="Overskrift1Tegn">
    <w:name w:val="Overskrift 1 Tegn"/>
    <w:basedOn w:val="Standardskriftforavsnitt"/>
    <w:rPr>
      <w:rFonts w:ascii="Times New Roman" w:eastAsia="Calibri" w:hAnsi="Times New Roman" w:cs="Arial"/>
      <w:b/>
      <w:bCs/>
      <w:kern w:val="3"/>
      <w:sz w:val="28"/>
      <w:szCs w:val="26"/>
      <w:lang w:eastAsia="nb-NO"/>
    </w:rPr>
  </w:style>
  <w:style w:type="character" w:customStyle="1" w:styleId="Overskrift2Tegn">
    <w:name w:val="Overskrift 2 Tegn"/>
    <w:basedOn w:val="Standardskriftforavsnitt"/>
    <w:rPr>
      <w:rFonts w:ascii="Times New Roman" w:eastAsia="Calibri" w:hAnsi="Times New Roman" w:cs="Arial"/>
      <w:b/>
      <w:bCs/>
      <w:iCs/>
      <w:szCs w:val="26"/>
      <w:lang w:eastAsia="nb-NO"/>
    </w:rPr>
  </w:style>
  <w:style w:type="character" w:customStyle="1" w:styleId="Overskrift3Tegn">
    <w:name w:val="Overskrift 3 Tegn"/>
    <w:basedOn w:val="Standardskriftforavsnitt"/>
    <w:rPr>
      <w:rFonts w:ascii="Times New Roman" w:eastAsia="Calibri" w:hAnsi="Times New Roman" w:cs="Arial"/>
      <w:bCs/>
      <w:i/>
      <w:szCs w:val="26"/>
      <w:lang w:eastAsia="nb-NO"/>
    </w:rPr>
  </w:style>
  <w:style w:type="character" w:customStyle="1" w:styleId="Overskrift4Tegn">
    <w:name w:val="Overskrift 4 Tegn"/>
    <w:basedOn w:val="Standardskriftforavsnitt"/>
    <w:rPr>
      <w:rFonts w:ascii="Times New Roman" w:eastAsia="Times New Roman" w:hAnsi="Times New Roman" w:cs="Times New Roman"/>
      <w:bCs/>
      <w:iCs/>
      <w:sz w:val="21"/>
      <w:szCs w:val="20"/>
      <w:lang w:eastAsia="nb-NO"/>
    </w:rPr>
  </w:style>
  <w:style w:type="paragraph" w:styleId="Topptekst">
    <w:name w:val="header"/>
    <w:basedOn w:val="Normal"/>
    <w:pPr>
      <w:tabs>
        <w:tab w:val="center" w:pos="4153"/>
        <w:tab w:val="right" w:pos="8306"/>
      </w:tabs>
      <w:spacing w:after="0" w:line="264" w:lineRule="exact"/>
      <w:jc w:val="both"/>
    </w:pPr>
    <w:rPr>
      <w:rFonts w:ascii="Times New Roman" w:hAnsi="Times New Roman"/>
      <w:szCs w:val="20"/>
      <w:lang w:eastAsia="nb-NO"/>
    </w:rPr>
  </w:style>
  <w:style w:type="character" w:customStyle="1" w:styleId="TopptekstTegn">
    <w:name w:val="Topptekst Tegn"/>
    <w:basedOn w:val="Standardskriftforavsnitt"/>
    <w:rPr>
      <w:rFonts w:ascii="Times New Roman" w:eastAsia="Calibri" w:hAnsi="Times New Roman" w:cs="Times New Roman"/>
      <w:szCs w:val="20"/>
      <w:lang w:eastAsia="nb-NO"/>
    </w:rPr>
  </w:style>
  <w:style w:type="paragraph" w:styleId="Bunntekst">
    <w:name w:val="footer"/>
    <w:basedOn w:val="Normal"/>
    <w:pPr>
      <w:tabs>
        <w:tab w:val="center" w:pos="4153"/>
        <w:tab w:val="right" w:pos="8306"/>
      </w:tabs>
      <w:spacing w:after="0" w:line="264" w:lineRule="exact"/>
      <w:jc w:val="both"/>
    </w:pPr>
    <w:rPr>
      <w:rFonts w:ascii="Times New Roman" w:hAnsi="Times New Roman"/>
      <w:szCs w:val="20"/>
      <w:lang w:eastAsia="nb-NO"/>
    </w:rPr>
  </w:style>
  <w:style w:type="character" w:customStyle="1" w:styleId="BunntekstTegn">
    <w:name w:val="Bunntekst Tegn"/>
    <w:basedOn w:val="Standardskriftforavsnitt"/>
    <w:rPr>
      <w:rFonts w:ascii="Times New Roman" w:eastAsia="Calibri" w:hAnsi="Times New Roman" w:cs="Times New Roman"/>
      <w:szCs w:val="20"/>
      <w:lang w:eastAsia="nb-NO"/>
    </w:rPr>
  </w:style>
  <w:style w:type="character" w:styleId="Hyperkobling">
    <w:name w:val="Hyperlink"/>
    <w:rPr>
      <w:color w:val="0000FF"/>
      <w:u w:val="single"/>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numbering" w:customStyle="1" w:styleId="WWOutlineListStyle17">
    <w:name w:val="WW_OutlineListStyle_17"/>
    <w:basedOn w:val="Ingenliste"/>
    <w:pPr>
      <w:numPr>
        <w:numId w:val="2"/>
      </w:numPr>
    </w:pPr>
  </w:style>
  <w:style w:type="numbering" w:customStyle="1" w:styleId="WWOutlineListStyle16">
    <w:name w:val="WW_OutlineListStyle_16"/>
    <w:basedOn w:val="Ingenliste"/>
    <w:pPr>
      <w:numPr>
        <w:numId w:val="3"/>
      </w:numPr>
    </w:pPr>
  </w:style>
  <w:style w:type="numbering" w:customStyle="1" w:styleId="WWOutlineListStyle15">
    <w:name w:val="WW_OutlineListStyle_15"/>
    <w:basedOn w:val="Ingenliste"/>
    <w:pPr>
      <w:numPr>
        <w:numId w:val="4"/>
      </w:numPr>
    </w:pPr>
  </w:style>
  <w:style w:type="numbering" w:customStyle="1" w:styleId="WWOutlineListStyle14">
    <w:name w:val="WW_OutlineListStyle_14"/>
    <w:basedOn w:val="Ingenliste"/>
    <w:pPr>
      <w:numPr>
        <w:numId w:val="5"/>
      </w:numPr>
    </w:pPr>
  </w:style>
  <w:style w:type="numbering" w:customStyle="1" w:styleId="WWOutlineListStyle13">
    <w:name w:val="WW_OutlineListStyle_13"/>
    <w:basedOn w:val="Ingenliste"/>
    <w:pPr>
      <w:numPr>
        <w:numId w:val="6"/>
      </w:numPr>
    </w:pPr>
  </w:style>
  <w:style w:type="numbering" w:customStyle="1" w:styleId="WWOutlineListStyle12">
    <w:name w:val="WW_OutlineListStyle_12"/>
    <w:basedOn w:val="Ingenliste"/>
    <w:pPr>
      <w:numPr>
        <w:numId w:val="7"/>
      </w:numPr>
    </w:pPr>
  </w:style>
  <w:style w:type="numbering" w:customStyle="1" w:styleId="WWOutlineListStyle11">
    <w:name w:val="WW_OutlineListStyle_11"/>
    <w:basedOn w:val="Ingenliste"/>
    <w:pPr>
      <w:numPr>
        <w:numId w:val="8"/>
      </w:numPr>
    </w:pPr>
  </w:style>
  <w:style w:type="numbering" w:customStyle="1" w:styleId="WWOutlineListStyle10">
    <w:name w:val="WW_OutlineListStyle_10"/>
    <w:basedOn w:val="Ingenliste"/>
    <w:pPr>
      <w:numPr>
        <w:numId w:val="9"/>
      </w:numPr>
    </w:pPr>
  </w:style>
  <w:style w:type="numbering" w:customStyle="1" w:styleId="WWOutlineListStyle9">
    <w:name w:val="WW_OutlineListStyle_9"/>
    <w:basedOn w:val="Ingenliste"/>
    <w:pPr>
      <w:numPr>
        <w:numId w:val="10"/>
      </w:numPr>
    </w:pPr>
  </w:style>
  <w:style w:type="numbering" w:customStyle="1" w:styleId="WWOutlineListStyle8">
    <w:name w:val="WW_OutlineListStyle_8"/>
    <w:basedOn w:val="Ingenliste"/>
    <w:pPr>
      <w:numPr>
        <w:numId w:val="11"/>
      </w:numPr>
    </w:pPr>
  </w:style>
  <w:style w:type="numbering" w:customStyle="1" w:styleId="WWOutlineListStyle7">
    <w:name w:val="WW_OutlineListStyle_7"/>
    <w:basedOn w:val="Ingenliste"/>
    <w:pPr>
      <w:numPr>
        <w:numId w:val="12"/>
      </w:numPr>
    </w:pPr>
  </w:style>
  <w:style w:type="numbering" w:customStyle="1" w:styleId="WWOutlineListStyle5">
    <w:name w:val="WW_OutlineListStyle_5"/>
    <w:basedOn w:val="Ingenliste"/>
    <w:pPr>
      <w:numPr>
        <w:numId w:val="13"/>
      </w:numPr>
    </w:pPr>
  </w:style>
  <w:style w:type="numbering" w:customStyle="1" w:styleId="WWOutlineListStyle4">
    <w:name w:val="WW_OutlineListStyle_4"/>
    <w:basedOn w:val="Ingenliste"/>
    <w:pPr>
      <w:numPr>
        <w:numId w:val="14"/>
      </w:numPr>
    </w:pPr>
  </w:style>
  <w:style w:type="numbering" w:customStyle="1" w:styleId="WWOutlineListStyle3">
    <w:name w:val="WW_OutlineListStyle_3"/>
    <w:basedOn w:val="Ingenliste"/>
    <w:pPr>
      <w:numPr>
        <w:numId w:val="15"/>
      </w:numPr>
    </w:pPr>
  </w:style>
  <w:style w:type="numbering" w:customStyle="1" w:styleId="WWOutlineListStyle2">
    <w:name w:val="WW_OutlineListStyle_2"/>
    <w:basedOn w:val="Ingenliste"/>
    <w:pPr>
      <w:numPr>
        <w:numId w:val="16"/>
      </w:numPr>
    </w:pPr>
  </w:style>
  <w:style w:type="numbering" w:customStyle="1" w:styleId="WWOutlineListStyle1">
    <w:name w:val="WW_OutlineListStyle_1"/>
    <w:basedOn w:val="Ingenliste"/>
    <w:pPr>
      <w:numPr>
        <w:numId w:val="17"/>
      </w:numPr>
    </w:pPr>
  </w:style>
  <w:style w:type="numbering" w:customStyle="1" w:styleId="WWOutlineListStyle">
    <w:name w:val="WW_OutlineListStyle"/>
    <w:basedOn w:val="Ingenliste"/>
    <w:pPr>
      <w:numPr>
        <w:numId w:val="18"/>
      </w:numPr>
    </w:pPr>
  </w:style>
  <w:style w:type="numbering" w:customStyle="1" w:styleId="WWOutlineListStyle6">
    <w:name w:val="WW_OutlineListStyle_6"/>
    <w:basedOn w:val="Ingenlist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2376</Words>
  <Characters>12595</Characters>
  <Application>Microsoft Office Word</Application>
  <DocSecurity>0</DocSecurity>
  <Lines>104</Lines>
  <Paragraphs>29</Paragraphs>
  <ScaleCrop>false</ScaleCrop>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Kielland</dc:creator>
  <dc:description/>
  <cp:lastModifiedBy>Guro Berge Smedshaug</cp:lastModifiedBy>
  <cp:revision>2</cp:revision>
  <dcterms:created xsi:type="dcterms:W3CDTF">2024-08-12T07:07:00Z</dcterms:created>
  <dcterms:modified xsi:type="dcterms:W3CDTF">2024-08-12T07:07:00Z</dcterms:modified>
</cp:coreProperties>
</file>