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91572" w14:textId="04B5A967" w:rsidR="00CF7BEC" w:rsidRPr="00342526" w:rsidRDefault="000C15E2" w:rsidP="00342526">
      <w:pPr>
        <w:spacing w:after="0" w:line="240" w:lineRule="auto"/>
        <w:rPr>
          <w:rFonts w:ascii="Calibri" w:eastAsia="Times" w:hAnsi="Calibri" w:cs="Times New Roman"/>
          <w:b/>
          <w:bCs/>
          <w:kern w:val="0"/>
          <w:sz w:val="28"/>
          <w14:ligatures w14:val="none"/>
        </w:rPr>
      </w:pPr>
      <w:r>
        <w:rPr>
          <w:rFonts w:ascii="Calibri" w:eastAsia="Times" w:hAnsi="Calibri" w:cs="Times New Roman"/>
          <w:b/>
          <w:bCs/>
          <w:kern w:val="0"/>
          <w:sz w:val="28"/>
          <w14:ligatures w14:val="none"/>
        </w:rPr>
        <w:t>1</w:t>
      </w:r>
      <w:r w:rsidR="006D1D5E">
        <w:rPr>
          <w:rFonts w:ascii="Calibri" w:eastAsia="Times" w:hAnsi="Calibri" w:cs="Times New Roman"/>
          <w:b/>
          <w:bCs/>
          <w:kern w:val="0"/>
          <w:sz w:val="28"/>
          <w14:ligatures w14:val="none"/>
        </w:rPr>
        <w:t>. januar 2025 overføres f</w:t>
      </w:r>
      <w:r w:rsidR="00364C46">
        <w:rPr>
          <w:rFonts w:ascii="Calibri" w:eastAsia="Times" w:hAnsi="Calibri" w:cs="Times New Roman"/>
          <w:b/>
          <w:bCs/>
          <w:kern w:val="0"/>
          <w:sz w:val="28"/>
          <w14:ligatures w14:val="none"/>
        </w:rPr>
        <w:t>inansieringsansvaret for</w:t>
      </w:r>
      <w:r w:rsidR="00CF7BEC" w:rsidRPr="00342526">
        <w:rPr>
          <w:rFonts w:ascii="Calibri" w:eastAsia="Times" w:hAnsi="Calibri" w:cs="Times New Roman"/>
          <w:b/>
          <w:bCs/>
          <w:kern w:val="0"/>
          <w:sz w:val="28"/>
          <w14:ligatures w14:val="none"/>
        </w:rPr>
        <w:t xml:space="preserve"> parenteral ernæring</w:t>
      </w:r>
      <w:r w:rsidR="00281014">
        <w:rPr>
          <w:rFonts w:ascii="Calibri" w:eastAsia="Times" w:hAnsi="Calibri" w:cs="Times New Roman"/>
          <w:b/>
          <w:bCs/>
          <w:kern w:val="0"/>
          <w:sz w:val="28"/>
          <w14:ligatures w14:val="none"/>
        </w:rPr>
        <w:t xml:space="preserve">, </w:t>
      </w:r>
      <w:r w:rsidR="00CF7BEC" w:rsidRPr="00342526">
        <w:rPr>
          <w:rFonts w:ascii="Calibri" w:eastAsia="Times" w:hAnsi="Calibri" w:cs="Times New Roman"/>
          <w:b/>
          <w:bCs/>
          <w:kern w:val="0"/>
          <w:sz w:val="28"/>
          <w14:ligatures w14:val="none"/>
        </w:rPr>
        <w:t xml:space="preserve">legemidler mot </w:t>
      </w:r>
      <w:r w:rsidR="00F770BA" w:rsidRPr="00342526">
        <w:rPr>
          <w:rFonts w:ascii="Calibri" w:eastAsia="Times" w:hAnsi="Calibri" w:cs="Times New Roman"/>
          <w:b/>
          <w:bCs/>
          <w:kern w:val="0"/>
          <w:sz w:val="28"/>
          <w14:ligatures w14:val="none"/>
        </w:rPr>
        <w:t xml:space="preserve">infeksjon til </w:t>
      </w:r>
      <w:r w:rsidR="00253E28">
        <w:rPr>
          <w:rFonts w:ascii="Calibri" w:eastAsia="Times" w:hAnsi="Calibri" w:cs="Times New Roman"/>
          <w:b/>
          <w:bCs/>
          <w:kern w:val="0"/>
          <w:sz w:val="28"/>
          <w14:ligatures w14:val="none"/>
        </w:rPr>
        <w:t>infusjon/ injeksjon og le</w:t>
      </w:r>
      <w:r w:rsidR="00722D15">
        <w:rPr>
          <w:rFonts w:ascii="Calibri" w:eastAsia="Times" w:hAnsi="Calibri" w:cs="Times New Roman"/>
          <w:b/>
          <w:bCs/>
          <w:kern w:val="0"/>
          <w:sz w:val="28"/>
          <w14:ligatures w14:val="none"/>
        </w:rPr>
        <w:t>gemidler mot tuberkulose</w:t>
      </w:r>
      <w:r>
        <w:rPr>
          <w:rFonts w:ascii="Calibri" w:eastAsia="Times" w:hAnsi="Calibri" w:cs="Times New Roman"/>
          <w:b/>
          <w:bCs/>
          <w:kern w:val="0"/>
          <w:sz w:val="28"/>
          <w14:ligatures w14:val="none"/>
        </w:rPr>
        <w:t xml:space="preserve"> til RHF-ene</w:t>
      </w:r>
      <w:r w:rsidR="005638F5">
        <w:rPr>
          <w:rFonts w:ascii="Calibri" w:eastAsia="Times" w:hAnsi="Calibri" w:cs="Times New Roman"/>
          <w:b/>
          <w:bCs/>
          <w:kern w:val="0"/>
          <w:sz w:val="28"/>
          <w14:ligatures w14:val="none"/>
        </w:rPr>
        <w:t>.</w:t>
      </w:r>
    </w:p>
    <w:p w14:paraId="439C8EEC" w14:textId="77777777" w:rsidR="00B9458F" w:rsidRDefault="00B9458F" w:rsidP="005638F5">
      <w:pPr>
        <w:spacing w:after="0" w:line="240" w:lineRule="auto"/>
        <w:rPr>
          <w:rFonts w:ascii="Calibri" w:eastAsia="Times" w:hAnsi="Calibri" w:cs="Times New Roman"/>
          <w:b/>
          <w:bCs/>
          <w:kern w:val="0"/>
          <w:sz w:val="24"/>
          <w:szCs w:val="20"/>
          <w14:ligatures w14:val="none"/>
        </w:rPr>
      </w:pPr>
      <w:bookmarkStart w:id="0" w:name="_Hlk178851071"/>
    </w:p>
    <w:p w14:paraId="435E5D23" w14:textId="69C19C78" w:rsidR="005638F5" w:rsidRDefault="005638F5" w:rsidP="005638F5">
      <w:pPr>
        <w:spacing w:after="0" w:line="240" w:lineRule="auto"/>
        <w:rPr>
          <w:rFonts w:ascii="Calibri" w:eastAsia="Times" w:hAnsi="Calibri" w:cs="Times New Roman"/>
          <w:b/>
          <w:bCs/>
          <w:kern w:val="0"/>
          <w:sz w:val="24"/>
          <w:szCs w:val="20"/>
          <w14:ligatures w14:val="none"/>
        </w:rPr>
      </w:pPr>
      <w:r w:rsidRPr="00DC1B29">
        <w:rPr>
          <w:rFonts w:ascii="Calibri" w:eastAsia="Times" w:hAnsi="Calibri" w:cs="Times New Roman"/>
          <w:b/>
          <w:bCs/>
          <w:kern w:val="0"/>
          <w:sz w:val="24"/>
          <w:szCs w:val="20"/>
          <w14:ligatures w14:val="none"/>
        </w:rPr>
        <w:t xml:space="preserve">Legemidler til parenteral ernæring </w:t>
      </w:r>
    </w:p>
    <w:p w14:paraId="1627E168" w14:textId="77777777" w:rsidR="005638F5" w:rsidRDefault="005638F5" w:rsidP="005638F5">
      <w:pPr>
        <w:spacing w:after="0" w:line="240" w:lineRule="auto"/>
        <w:rPr>
          <w:rFonts w:ascii="Calibri" w:eastAsia="Times" w:hAnsi="Calibri" w:cs="Times New Roman"/>
          <w:kern w:val="0"/>
          <w:sz w:val="24"/>
          <w:szCs w:val="20"/>
          <w14:ligatures w14:val="none"/>
        </w:rPr>
      </w:pPr>
      <w:r w:rsidRPr="00DC1B29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>Helsedirektoratet har tatt utgangspunkt i infusjonsoppløsninger (B05B) og infusjonskonsentrater (B05X) som brukes i forbindelse med parenteral ernæring</w:t>
      </w:r>
      <w:r>
        <w:rPr>
          <w:rFonts w:ascii="Calibri" w:eastAsia="Times" w:hAnsi="Calibri" w:cs="Times New Roman"/>
          <w:kern w:val="0"/>
          <w:sz w:val="24"/>
          <w:szCs w:val="20"/>
          <w14:ligatures w14:val="none"/>
        </w:rPr>
        <w:t>.</w:t>
      </w:r>
      <w:r w:rsidRPr="00DC1B29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 xml:space="preserve"> Ved en </w:t>
      </w:r>
      <w:r w:rsidRPr="00F6114A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>budsjett</w:t>
      </w:r>
      <w:r w:rsidRPr="00DC1B29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>overføring, inkluderes også utgifter til arbeidspris og engangsutstyr som er nødvendig for tilberedningen</w:t>
      </w:r>
      <w:r>
        <w:rPr>
          <w:rFonts w:ascii="Calibri" w:eastAsia="Times" w:hAnsi="Calibri" w:cs="Times New Roman"/>
          <w:kern w:val="0"/>
          <w:sz w:val="24"/>
          <w:szCs w:val="20"/>
          <w14:ligatures w14:val="none"/>
        </w:rPr>
        <w:t xml:space="preserve">. </w:t>
      </w:r>
      <w:r w:rsidRPr="00DC1B29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 xml:space="preserve">Tilhørende medisinsk utstyr og utgifter til frakt til hjemmet, finansieres allerede av RHF-ene ved behov for parenteral ernæring utenfor sykehus. </w:t>
      </w:r>
    </w:p>
    <w:p w14:paraId="12FF1685" w14:textId="77777777" w:rsidR="005638F5" w:rsidRDefault="005638F5" w:rsidP="005638F5">
      <w:pPr>
        <w:spacing w:after="0" w:line="240" w:lineRule="auto"/>
        <w:rPr>
          <w:rFonts w:ascii="Calibri" w:eastAsia="Times" w:hAnsi="Calibri" w:cs="Times New Roman"/>
          <w:kern w:val="0"/>
          <w:sz w:val="24"/>
          <w:szCs w:val="20"/>
          <w14:ligatures w14:val="none"/>
        </w:rPr>
      </w:pPr>
    </w:p>
    <w:p w14:paraId="2636D9DF" w14:textId="294A5902" w:rsidR="007F41A4" w:rsidRPr="007F41A4" w:rsidRDefault="005638F5" w:rsidP="007F41A4">
      <w:pPr>
        <w:spacing w:after="0" w:line="240" w:lineRule="auto"/>
        <w:rPr>
          <w:rFonts w:ascii="Calibri" w:eastAsia="Times" w:hAnsi="Calibri" w:cs="Times New Roman"/>
          <w:kern w:val="0"/>
          <w:sz w:val="24"/>
          <w:szCs w:val="20"/>
          <w14:ligatures w14:val="none"/>
        </w:rPr>
      </w:pPr>
      <w:r w:rsidRPr="00DC1B29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 xml:space="preserve">I </w:t>
      </w:r>
      <w:r>
        <w:rPr>
          <w:rFonts w:ascii="Calibri" w:eastAsia="Times" w:hAnsi="Calibri" w:cs="Times New Roman"/>
          <w:kern w:val="0"/>
          <w:sz w:val="24"/>
          <w:szCs w:val="20"/>
          <w14:ligatures w14:val="none"/>
        </w:rPr>
        <w:t>tabell 2</w:t>
      </w:r>
      <w:r w:rsidRPr="00DC1B29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 xml:space="preserve"> er det listet opp en oversikt over foreslåtte legemidler definert med virkestoff og tilhørende ATC-kode.</w:t>
      </w:r>
      <w:r w:rsidR="007F41A4" w:rsidRPr="007F41A4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 xml:space="preserve"> Sykehusinnkjøp utarbeider en liste over konkrete varenummer som blir overført og merket med h-resept. </w:t>
      </w:r>
    </w:p>
    <w:p w14:paraId="21511881" w14:textId="77777777" w:rsidR="007F41A4" w:rsidRPr="007F41A4" w:rsidRDefault="007F41A4" w:rsidP="007F41A4">
      <w:pPr>
        <w:spacing w:after="0" w:line="240" w:lineRule="auto"/>
        <w:rPr>
          <w:rFonts w:ascii="Calibri" w:eastAsia="Times" w:hAnsi="Calibri" w:cs="Times New Roman"/>
          <w:kern w:val="0"/>
          <w:sz w:val="24"/>
          <w:szCs w:val="20"/>
          <w14:ligatures w14:val="none"/>
        </w:rPr>
      </w:pPr>
    </w:p>
    <w:p w14:paraId="7AC1B907" w14:textId="426BF8F2" w:rsidR="00EA4B35" w:rsidRPr="009E4482" w:rsidRDefault="005638F5" w:rsidP="005638F5">
      <w:pPr>
        <w:spacing w:after="0" w:line="240" w:lineRule="auto"/>
        <w:rPr>
          <w:rFonts w:ascii="Calibri" w:eastAsia="Times" w:hAnsi="Calibri" w:cs="Times New Roman"/>
          <w:b/>
          <w:bCs/>
          <w:kern w:val="0"/>
          <w:sz w:val="24"/>
          <w:szCs w:val="20"/>
          <w14:ligatures w14:val="none"/>
        </w:rPr>
      </w:pPr>
      <w:r w:rsidRPr="009E4482">
        <w:rPr>
          <w:rFonts w:ascii="Calibri" w:eastAsia="Times" w:hAnsi="Calibri" w:cs="Times New Roman"/>
          <w:b/>
          <w:bCs/>
          <w:kern w:val="0"/>
          <w:sz w:val="24"/>
          <w:szCs w:val="20"/>
          <w14:ligatures w14:val="none"/>
        </w:rPr>
        <w:t xml:space="preserve">Tabell </w:t>
      </w:r>
      <w:r>
        <w:rPr>
          <w:rFonts w:ascii="Calibri" w:eastAsia="Times" w:hAnsi="Calibri" w:cs="Times New Roman"/>
          <w:b/>
          <w:bCs/>
          <w:kern w:val="0"/>
          <w:sz w:val="24"/>
          <w:szCs w:val="20"/>
          <w14:ligatures w14:val="none"/>
        </w:rPr>
        <w:t>1</w:t>
      </w:r>
      <w:r w:rsidRPr="009E4482">
        <w:rPr>
          <w:rFonts w:ascii="Calibri" w:eastAsia="Times" w:hAnsi="Calibri" w:cs="Times New Roman"/>
          <w:b/>
          <w:bCs/>
          <w:kern w:val="0"/>
          <w:sz w:val="24"/>
          <w:szCs w:val="20"/>
          <w14:ligatures w14:val="none"/>
        </w:rPr>
        <w:t xml:space="preserve"> Legemidler til parenteral ernæring</w:t>
      </w:r>
    </w:p>
    <w:tbl>
      <w:tblPr>
        <w:tblStyle w:val="Tabellrutenett"/>
        <w:tblW w:w="7083" w:type="dxa"/>
        <w:tblLook w:val="0600" w:firstRow="0" w:lastRow="0" w:firstColumn="0" w:lastColumn="0" w:noHBand="1" w:noVBand="1"/>
      </w:tblPr>
      <w:tblGrid>
        <w:gridCol w:w="1640"/>
        <w:gridCol w:w="5443"/>
      </w:tblGrid>
      <w:tr w:rsidR="005638F5" w:rsidRPr="00CC7247" w14:paraId="1D9ACEC0" w14:textId="77777777" w:rsidTr="00F64454">
        <w:trPr>
          <w:trHeight w:val="300"/>
        </w:trPr>
        <w:tc>
          <w:tcPr>
            <w:tcW w:w="7083" w:type="dxa"/>
            <w:gridSpan w:val="2"/>
            <w:noWrap/>
          </w:tcPr>
          <w:p w14:paraId="75A387BA" w14:textId="77777777" w:rsidR="005638F5" w:rsidRPr="00CC7247" w:rsidRDefault="005638F5" w:rsidP="00F64454">
            <w:pPr>
              <w:rPr>
                <w:rFonts w:ascii="Calibri" w:eastAsia="Times" w:hAnsi="Calibri" w:cs="Times New Roman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ascii="Calibri" w:eastAsia="Times" w:hAnsi="Calibri" w:cs="Times New Roman"/>
                <w:b/>
                <w:bCs/>
                <w:kern w:val="0"/>
                <w:sz w:val="24"/>
                <w:szCs w:val="20"/>
                <w14:ligatures w14:val="none"/>
              </w:rPr>
              <w:t>Alle legemidler med virkestoff og tilhørende ATC-koder</w:t>
            </w:r>
          </w:p>
        </w:tc>
      </w:tr>
      <w:tr w:rsidR="005638F5" w:rsidRPr="00CC7247" w14:paraId="5799BF86" w14:textId="77777777" w:rsidTr="00F64454">
        <w:trPr>
          <w:trHeight w:val="300"/>
        </w:trPr>
        <w:tc>
          <w:tcPr>
            <w:tcW w:w="1640" w:type="dxa"/>
            <w:noWrap/>
            <w:hideMark/>
          </w:tcPr>
          <w:p w14:paraId="56FA700B" w14:textId="77777777" w:rsidR="005638F5" w:rsidRPr="00CC7247" w:rsidRDefault="005638F5" w:rsidP="00F64454">
            <w:pPr>
              <w:rPr>
                <w:rFonts w:ascii="Calibri" w:eastAsia="Times" w:hAnsi="Calibri" w:cs="Times New Roman"/>
                <w:b/>
                <w:bCs/>
                <w:kern w:val="0"/>
                <w:sz w:val="24"/>
                <w:szCs w:val="20"/>
                <w14:ligatures w14:val="none"/>
              </w:rPr>
            </w:pPr>
            <w:r w:rsidRPr="00CC7247">
              <w:rPr>
                <w:rFonts w:ascii="Calibri" w:eastAsia="Times" w:hAnsi="Calibri" w:cs="Times New Roman"/>
                <w:b/>
                <w:bCs/>
                <w:kern w:val="0"/>
                <w:sz w:val="24"/>
                <w:szCs w:val="20"/>
                <w14:ligatures w14:val="none"/>
              </w:rPr>
              <w:t>ATC</w:t>
            </w:r>
          </w:p>
        </w:tc>
        <w:tc>
          <w:tcPr>
            <w:tcW w:w="5443" w:type="dxa"/>
            <w:noWrap/>
            <w:hideMark/>
          </w:tcPr>
          <w:p w14:paraId="60A93D19" w14:textId="77777777" w:rsidR="005638F5" w:rsidRPr="00CC7247" w:rsidRDefault="005638F5" w:rsidP="00F64454">
            <w:pPr>
              <w:rPr>
                <w:rFonts w:ascii="Calibri" w:eastAsia="Times" w:hAnsi="Calibri" w:cs="Times New Roman"/>
                <w:b/>
                <w:bCs/>
                <w:kern w:val="0"/>
                <w:sz w:val="24"/>
                <w:szCs w:val="20"/>
                <w14:ligatures w14:val="none"/>
              </w:rPr>
            </w:pPr>
            <w:r w:rsidRPr="00CC7247">
              <w:rPr>
                <w:rFonts w:ascii="Calibri" w:eastAsia="Times" w:hAnsi="Calibri" w:cs="Times New Roman"/>
                <w:b/>
                <w:bCs/>
                <w:kern w:val="0"/>
                <w:sz w:val="24"/>
                <w:szCs w:val="20"/>
                <w14:ligatures w14:val="none"/>
              </w:rPr>
              <w:t>Virkestoff</w:t>
            </w:r>
          </w:p>
        </w:tc>
      </w:tr>
      <w:tr w:rsidR="005638F5" w:rsidRPr="00CC7247" w14:paraId="353913F4" w14:textId="77777777" w:rsidTr="00F64454">
        <w:trPr>
          <w:trHeight w:val="285"/>
        </w:trPr>
        <w:tc>
          <w:tcPr>
            <w:tcW w:w="1640" w:type="dxa"/>
            <w:noWrap/>
            <w:hideMark/>
          </w:tcPr>
          <w:p w14:paraId="5C6F57BA" w14:textId="77777777" w:rsidR="005638F5" w:rsidRPr="00CC7247" w:rsidRDefault="005638F5" w:rsidP="00F64454">
            <w:pPr>
              <w:rPr>
                <w:rFonts w:ascii="Calibri" w:eastAsia="Times" w:hAnsi="Calibri" w:cs="Times New Roman"/>
                <w:kern w:val="0"/>
                <w:sz w:val="24"/>
                <w:szCs w:val="20"/>
                <w14:ligatures w14:val="none"/>
              </w:rPr>
            </w:pPr>
            <w:r w:rsidRPr="00CC7247">
              <w:rPr>
                <w:rFonts w:ascii="Calibri" w:eastAsia="Times" w:hAnsi="Calibri" w:cs="Times New Roman"/>
                <w:kern w:val="0"/>
                <w:sz w:val="24"/>
                <w:szCs w:val="20"/>
                <w14:ligatures w14:val="none"/>
              </w:rPr>
              <w:t>B05BA01</w:t>
            </w:r>
          </w:p>
        </w:tc>
        <w:tc>
          <w:tcPr>
            <w:tcW w:w="5443" w:type="dxa"/>
            <w:noWrap/>
            <w:hideMark/>
          </w:tcPr>
          <w:p w14:paraId="36855C77" w14:textId="77777777" w:rsidR="005638F5" w:rsidRPr="00CC7247" w:rsidRDefault="005638F5" w:rsidP="00F64454">
            <w:pPr>
              <w:rPr>
                <w:rFonts w:ascii="Calibri" w:eastAsia="Times" w:hAnsi="Calibri" w:cs="Times New Roman"/>
                <w:kern w:val="0"/>
                <w:sz w:val="24"/>
                <w:szCs w:val="20"/>
                <w14:ligatures w14:val="none"/>
              </w:rPr>
            </w:pPr>
            <w:r w:rsidRPr="00CC7247">
              <w:rPr>
                <w:rFonts w:ascii="Calibri" w:eastAsia="Times" w:hAnsi="Calibri" w:cs="Times New Roman"/>
                <w:kern w:val="0"/>
                <w:sz w:val="24"/>
                <w:szCs w:val="20"/>
                <w14:ligatures w14:val="none"/>
              </w:rPr>
              <w:t>Aminosyrer</w:t>
            </w:r>
          </w:p>
        </w:tc>
      </w:tr>
      <w:tr w:rsidR="005638F5" w:rsidRPr="00CC7247" w14:paraId="6BF50FB0" w14:textId="77777777" w:rsidTr="00F64454">
        <w:trPr>
          <w:trHeight w:val="285"/>
        </w:trPr>
        <w:tc>
          <w:tcPr>
            <w:tcW w:w="1640" w:type="dxa"/>
            <w:noWrap/>
            <w:hideMark/>
          </w:tcPr>
          <w:p w14:paraId="69BF3F7F" w14:textId="77777777" w:rsidR="005638F5" w:rsidRPr="00CC7247" w:rsidRDefault="005638F5" w:rsidP="00F64454">
            <w:pPr>
              <w:rPr>
                <w:rFonts w:ascii="Calibri" w:eastAsia="Times" w:hAnsi="Calibri" w:cs="Times New Roman"/>
                <w:kern w:val="0"/>
                <w:sz w:val="24"/>
                <w:szCs w:val="20"/>
                <w14:ligatures w14:val="none"/>
              </w:rPr>
            </w:pPr>
            <w:r w:rsidRPr="00CC7247">
              <w:rPr>
                <w:rFonts w:ascii="Calibri" w:eastAsia="Times" w:hAnsi="Calibri" w:cs="Times New Roman"/>
                <w:kern w:val="0"/>
                <w:sz w:val="24"/>
                <w:szCs w:val="20"/>
                <w14:ligatures w14:val="none"/>
              </w:rPr>
              <w:t>B05BA02</w:t>
            </w:r>
          </w:p>
        </w:tc>
        <w:tc>
          <w:tcPr>
            <w:tcW w:w="5443" w:type="dxa"/>
            <w:noWrap/>
            <w:hideMark/>
          </w:tcPr>
          <w:p w14:paraId="68F3CC64" w14:textId="77777777" w:rsidR="005638F5" w:rsidRPr="00CC7247" w:rsidRDefault="005638F5" w:rsidP="00F64454">
            <w:pPr>
              <w:rPr>
                <w:rFonts w:ascii="Calibri" w:eastAsia="Times" w:hAnsi="Calibri" w:cs="Times New Roman"/>
                <w:kern w:val="0"/>
                <w:sz w:val="24"/>
                <w:szCs w:val="20"/>
                <w14:ligatures w14:val="none"/>
              </w:rPr>
            </w:pPr>
            <w:r w:rsidRPr="00CC7247">
              <w:rPr>
                <w:rFonts w:ascii="Calibri" w:eastAsia="Times" w:hAnsi="Calibri" w:cs="Times New Roman"/>
                <w:kern w:val="0"/>
                <w:sz w:val="24"/>
                <w:szCs w:val="20"/>
                <w14:ligatures w14:val="none"/>
              </w:rPr>
              <w:t>Fettemulsjoner</w:t>
            </w:r>
          </w:p>
        </w:tc>
      </w:tr>
      <w:tr w:rsidR="005638F5" w:rsidRPr="00CC7247" w14:paraId="000BFE56" w14:textId="77777777" w:rsidTr="00F64454">
        <w:trPr>
          <w:trHeight w:val="285"/>
        </w:trPr>
        <w:tc>
          <w:tcPr>
            <w:tcW w:w="1640" w:type="dxa"/>
            <w:noWrap/>
            <w:hideMark/>
          </w:tcPr>
          <w:p w14:paraId="3367BA57" w14:textId="77777777" w:rsidR="005638F5" w:rsidRPr="00CC7247" w:rsidRDefault="005638F5" w:rsidP="00F64454">
            <w:pPr>
              <w:rPr>
                <w:rFonts w:ascii="Calibri" w:eastAsia="Times" w:hAnsi="Calibri" w:cs="Times New Roman"/>
                <w:kern w:val="0"/>
                <w:sz w:val="24"/>
                <w:szCs w:val="20"/>
                <w14:ligatures w14:val="none"/>
              </w:rPr>
            </w:pPr>
            <w:r w:rsidRPr="00CC7247">
              <w:rPr>
                <w:rFonts w:ascii="Calibri" w:eastAsia="Times" w:hAnsi="Calibri" w:cs="Times New Roman"/>
                <w:kern w:val="0"/>
                <w:sz w:val="24"/>
                <w:szCs w:val="20"/>
                <w14:ligatures w14:val="none"/>
              </w:rPr>
              <w:t>B05BA10</w:t>
            </w:r>
          </w:p>
        </w:tc>
        <w:tc>
          <w:tcPr>
            <w:tcW w:w="5443" w:type="dxa"/>
            <w:noWrap/>
            <w:hideMark/>
          </w:tcPr>
          <w:p w14:paraId="2D64688F" w14:textId="77777777" w:rsidR="005638F5" w:rsidRPr="00CC7247" w:rsidRDefault="005638F5" w:rsidP="00F64454">
            <w:pPr>
              <w:rPr>
                <w:rFonts w:ascii="Calibri" w:eastAsia="Times" w:hAnsi="Calibri" w:cs="Times New Roman"/>
                <w:kern w:val="0"/>
                <w:sz w:val="24"/>
                <w:szCs w:val="20"/>
                <w14:ligatures w14:val="none"/>
              </w:rPr>
            </w:pPr>
            <w:r w:rsidRPr="00CC7247">
              <w:rPr>
                <w:rFonts w:ascii="Calibri" w:eastAsia="Times" w:hAnsi="Calibri" w:cs="Times New Roman"/>
                <w:kern w:val="0"/>
                <w:sz w:val="24"/>
                <w:szCs w:val="20"/>
                <w14:ligatures w14:val="none"/>
              </w:rPr>
              <w:t>Blanding</w:t>
            </w:r>
          </w:p>
        </w:tc>
      </w:tr>
      <w:tr w:rsidR="005638F5" w:rsidRPr="00CC7247" w14:paraId="3DC868F0" w14:textId="77777777" w:rsidTr="00F64454">
        <w:trPr>
          <w:trHeight w:val="285"/>
        </w:trPr>
        <w:tc>
          <w:tcPr>
            <w:tcW w:w="1640" w:type="dxa"/>
            <w:noWrap/>
            <w:hideMark/>
          </w:tcPr>
          <w:p w14:paraId="6728C82F" w14:textId="77777777" w:rsidR="005638F5" w:rsidRPr="00CC7247" w:rsidRDefault="005638F5" w:rsidP="00F64454">
            <w:pPr>
              <w:rPr>
                <w:rFonts w:ascii="Calibri" w:eastAsia="Times" w:hAnsi="Calibri" w:cs="Times New Roman"/>
                <w:kern w:val="0"/>
                <w:sz w:val="24"/>
                <w:szCs w:val="20"/>
                <w14:ligatures w14:val="none"/>
              </w:rPr>
            </w:pPr>
            <w:r w:rsidRPr="00CC7247">
              <w:rPr>
                <w:rFonts w:ascii="Calibri" w:eastAsia="Times" w:hAnsi="Calibri" w:cs="Times New Roman"/>
                <w:kern w:val="0"/>
                <w:sz w:val="24"/>
                <w:szCs w:val="20"/>
                <w14:ligatures w14:val="none"/>
              </w:rPr>
              <w:t>B05XA31</w:t>
            </w:r>
          </w:p>
        </w:tc>
        <w:tc>
          <w:tcPr>
            <w:tcW w:w="5443" w:type="dxa"/>
            <w:noWrap/>
            <w:hideMark/>
          </w:tcPr>
          <w:p w14:paraId="2294B3F4" w14:textId="77777777" w:rsidR="005638F5" w:rsidRPr="00CC7247" w:rsidRDefault="005638F5" w:rsidP="00F64454">
            <w:pPr>
              <w:rPr>
                <w:rFonts w:ascii="Calibri" w:eastAsia="Times" w:hAnsi="Calibri" w:cs="Times New Roman"/>
                <w:kern w:val="0"/>
                <w:sz w:val="24"/>
                <w:szCs w:val="20"/>
                <w14:ligatures w14:val="none"/>
              </w:rPr>
            </w:pPr>
            <w:r w:rsidRPr="00CC7247">
              <w:rPr>
                <w:rFonts w:ascii="Calibri" w:eastAsia="Times" w:hAnsi="Calibri" w:cs="Times New Roman"/>
                <w:kern w:val="0"/>
                <w:sz w:val="24"/>
                <w:szCs w:val="20"/>
                <w14:ligatures w14:val="none"/>
              </w:rPr>
              <w:t>Elektrolytter i komb</w:t>
            </w:r>
          </w:p>
        </w:tc>
      </w:tr>
      <w:tr w:rsidR="005638F5" w:rsidRPr="00CC7247" w14:paraId="7824D3E2" w14:textId="77777777" w:rsidTr="00F64454">
        <w:trPr>
          <w:trHeight w:val="285"/>
        </w:trPr>
        <w:tc>
          <w:tcPr>
            <w:tcW w:w="1640" w:type="dxa"/>
            <w:noWrap/>
            <w:hideMark/>
          </w:tcPr>
          <w:p w14:paraId="4C6E9C19" w14:textId="77777777" w:rsidR="005638F5" w:rsidRPr="00CC7247" w:rsidRDefault="005638F5" w:rsidP="00F64454">
            <w:pPr>
              <w:rPr>
                <w:rFonts w:ascii="Calibri" w:eastAsia="Times" w:hAnsi="Calibri" w:cs="Times New Roman"/>
                <w:kern w:val="0"/>
                <w:sz w:val="24"/>
                <w:szCs w:val="20"/>
                <w14:ligatures w14:val="none"/>
              </w:rPr>
            </w:pPr>
            <w:r w:rsidRPr="00CC7247">
              <w:rPr>
                <w:rFonts w:ascii="Calibri" w:eastAsia="Times" w:hAnsi="Calibri" w:cs="Times New Roman"/>
                <w:kern w:val="0"/>
                <w:sz w:val="24"/>
                <w:szCs w:val="20"/>
                <w14:ligatures w14:val="none"/>
              </w:rPr>
              <w:t>B05XB02</w:t>
            </w:r>
          </w:p>
        </w:tc>
        <w:tc>
          <w:tcPr>
            <w:tcW w:w="5443" w:type="dxa"/>
            <w:noWrap/>
            <w:hideMark/>
          </w:tcPr>
          <w:p w14:paraId="4A674DEA" w14:textId="77777777" w:rsidR="005638F5" w:rsidRPr="00CC7247" w:rsidRDefault="005638F5" w:rsidP="00F64454">
            <w:pPr>
              <w:rPr>
                <w:rFonts w:ascii="Calibri" w:eastAsia="Times" w:hAnsi="Calibri" w:cs="Times New Roman"/>
                <w:kern w:val="0"/>
                <w:sz w:val="24"/>
                <w:szCs w:val="20"/>
                <w14:ligatures w14:val="none"/>
              </w:rPr>
            </w:pPr>
            <w:r w:rsidRPr="00CC7247">
              <w:rPr>
                <w:rFonts w:ascii="Calibri" w:eastAsia="Times" w:hAnsi="Calibri" w:cs="Times New Roman"/>
                <w:kern w:val="0"/>
                <w:sz w:val="24"/>
                <w:szCs w:val="20"/>
                <w14:ligatures w14:val="none"/>
              </w:rPr>
              <w:t>Aminosyrer tilsetn</w:t>
            </w:r>
          </w:p>
        </w:tc>
      </w:tr>
      <w:tr w:rsidR="005638F5" w:rsidRPr="00CC7247" w14:paraId="3A465B85" w14:textId="77777777" w:rsidTr="00F64454">
        <w:trPr>
          <w:trHeight w:val="285"/>
        </w:trPr>
        <w:tc>
          <w:tcPr>
            <w:tcW w:w="1640" w:type="dxa"/>
            <w:noWrap/>
            <w:hideMark/>
          </w:tcPr>
          <w:p w14:paraId="37E1890D" w14:textId="77777777" w:rsidR="005638F5" w:rsidRPr="00CC7247" w:rsidRDefault="005638F5" w:rsidP="00F64454">
            <w:pPr>
              <w:rPr>
                <w:rFonts w:ascii="Calibri" w:eastAsia="Times" w:hAnsi="Calibri" w:cs="Times New Roman"/>
                <w:kern w:val="0"/>
                <w:sz w:val="24"/>
                <w:szCs w:val="20"/>
                <w14:ligatures w14:val="none"/>
              </w:rPr>
            </w:pPr>
            <w:r w:rsidRPr="00CC7247">
              <w:rPr>
                <w:rFonts w:ascii="Calibri" w:eastAsia="Times" w:hAnsi="Calibri" w:cs="Times New Roman"/>
                <w:kern w:val="0"/>
                <w:sz w:val="24"/>
                <w:szCs w:val="20"/>
                <w14:ligatures w14:val="none"/>
              </w:rPr>
              <w:t>B05XC</w:t>
            </w:r>
          </w:p>
        </w:tc>
        <w:tc>
          <w:tcPr>
            <w:tcW w:w="5443" w:type="dxa"/>
            <w:noWrap/>
            <w:hideMark/>
          </w:tcPr>
          <w:p w14:paraId="62538C9D" w14:textId="77777777" w:rsidR="005638F5" w:rsidRPr="00CC7247" w:rsidRDefault="005638F5" w:rsidP="00F64454">
            <w:pPr>
              <w:rPr>
                <w:rFonts w:ascii="Calibri" w:eastAsia="Times" w:hAnsi="Calibri" w:cs="Times New Roman"/>
                <w:kern w:val="0"/>
                <w:sz w:val="24"/>
                <w:szCs w:val="20"/>
                <w14:ligatures w14:val="none"/>
              </w:rPr>
            </w:pPr>
            <w:r w:rsidRPr="00CC7247">
              <w:rPr>
                <w:rFonts w:ascii="Calibri" w:eastAsia="Times" w:hAnsi="Calibri" w:cs="Times New Roman"/>
                <w:kern w:val="0"/>
                <w:sz w:val="24"/>
                <w:szCs w:val="20"/>
                <w14:ligatures w14:val="none"/>
              </w:rPr>
              <w:t>Vitaminer</w:t>
            </w:r>
          </w:p>
        </w:tc>
      </w:tr>
    </w:tbl>
    <w:p w14:paraId="7B251769" w14:textId="77777777" w:rsidR="005638F5" w:rsidRDefault="005638F5" w:rsidP="00DC1B29">
      <w:pPr>
        <w:spacing w:after="0" w:line="240" w:lineRule="auto"/>
        <w:rPr>
          <w:rFonts w:ascii="Calibri" w:eastAsia="Times" w:hAnsi="Calibri" w:cs="Times New Roman"/>
          <w:b/>
          <w:bCs/>
          <w:kern w:val="0"/>
          <w:sz w:val="24"/>
          <w:szCs w:val="20"/>
          <w14:ligatures w14:val="none"/>
        </w:rPr>
      </w:pPr>
    </w:p>
    <w:p w14:paraId="32672D8C" w14:textId="77777777" w:rsidR="007F41A4" w:rsidRDefault="007F41A4" w:rsidP="00DC1B29">
      <w:pPr>
        <w:spacing w:after="0" w:line="240" w:lineRule="auto"/>
        <w:rPr>
          <w:rFonts w:ascii="Calibri" w:eastAsia="Times" w:hAnsi="Calibri" w:cs="Times New Roman"/>
          <w:b/>
          <w:bCs/>
          <w:kern w:val="0"/>
          <w:sz w:val="24"/>
          <w:szCs w:val="20"/>
          <w14:ligatures w14:val="none"/>
        </w:rPr>
      </w:pPr>
    </w:p>
    <w:p w14:paraId="4C984F8C" w14:textId="77777777" w:rsidR="007F41A4" w:rsidRDefault="007F41A4" w:rsidP="00DC1B29">
      <w:pPr>
        <w:spacing w:after="0" w:line="240" w:lineRule="auto"/>
        <w:rPr>
          <w:rFonts w:ascii="Calibri" w:eastAsia="Times" w:hAnsi="Calibri" w:cs="Times New Roman"/>
          <w:b/>
          <w:bCs/>
          <w:kern w:val="0"/>
          <w:sz w:val="24"/>
          <w:szCs w:val="20"/>
          <w14:ligatures w14:val="none"/>
        </w:rPr>
      </w:pPr>
    </w:p>
    <w:p w14:paraId="01BEBC1E" w14:textId="77777777" w:rsidR="007F41A4" w:rsidRDefault="007F41A4" w:rsidP="00DC1B29">
      <w:pPr>
        <w:spacing w:after="0" w:line="240" w:lineRule="auto"/>
        <w:rPr>
          <w:rFonts w:ascii="Calibri" w:eastAsia="Times" w:hAnsi="Calibri" w:cs="Times New Roman"/>
          <w:b/>
          <w:bCs/>
          <w:kern w:val="0"/>
          <w:sz w:val="24"/>
          <w:szCs w:val="20"/>
          <w14:ligatures w14:val="none"/>
        </w:rPr>
      </w:pPr>
    </w:p>
    <w:p w14:paraId="730EA6A1" w14:textId="77777777" w:rsidR="007F41A4" w:rsidRDefault="007F41A4" w:rsidP="00DC1B29">
      <w:pPr>
        <w:spacing w:after="0" w:line="240" w:lineRule="auto"/>
        <w:rPr>
          <w:rFonts w:ascii="Calibri" w:eastAsia="Times" w:hAnsi="Calibri" w:cs="Times New Roman"/>
          <w:b/>
          <w:bCs/>
          <w:kern w:val="0"/>
          <w:sz w:val="24"/>
          <w:szCs w:val="20"/>
          <w14:ligatures w14:val="none"/>
        </w:rPr>
      </w:pPr>
    </w:p>
    <w:p w14:paraId="2A5A3261" w14:textId="0D4389EB" w:rsidR="00DC1B29" w:rsidRPr="00DC1B29" w:rsidRDefault="00DC1B29" w:rsidP="00DC1B29">
      <w:pPr>
        <w:spacing w:after="0" w:line="240" w:lineRule="auto"/>
        <w:rPr>
          <w:rFonts w:ascii="Calibri" w:eastAsia="Times" w:hAnsi="Calibri" w:cs="Times New Roman"/>
          <w:kern w:val="0"/>
          <w:sz w:val="24"/>
          <w:szCs w:val="20"/>
          <w14:ligatures w14:val="none"/>
        </w:rPr>
      </w:pPr>
      <w:r w:rsidRPr="00DC1B29">
        <w:rPr>
          <w:rFonts w:ascii="Calibri" w:eastAsia="Times" w:hAnsi="Calibri" w:cs="Times New Roman"/>
          <w:b/>
          <w:bCs/>
          <w:kern w:val="0"/>
          <w:sz w:val="24"/>
          <w:szCs w:val="20"/>
          <w14:ligatures w14:val="none"/>
        </w:rPr>
        <w:t xml:space="preserve">Legemidler </w:t>
      </w:r>
      <w:r w:rsidR="00CA1D4B">
        <w:rPr>
          <w:rFonts w:ascii="Calibri" w:eastAsia="Times" w:hAnsi="Calibri" w:cs="Times New Roman"/>
          <w:b/>
          <w:bCs/>
          <w:kern w:val="0"/>
          <w:sz w:val="24"/>
          <w:szCs w:val="20"/>
          <w14:ligatures w14:val="none"/>
        </w:rPr>
        <w:t>mot</w:t>
      </w:r>
      <w:r w:rsidRPr="00DC1B29">
        <w:rPr>
          <w:rFonts w:ascii="Calibri" w:eastAsia="Times" w:hAnsi="Calibri" w:cs="Times New Roman"/>
          <w:b/>
          <w:bCs/>
          <w:kern w:val="0"/>
          <w:sz w:val="24"/>
          <w:szCs w:val="20"/>
          <w14:ligatures w14:val="none"/>
        </w:rPr>
        <w:t xml:space="preserve"> infeksjon </w:t>
      </w:r>
      <w:r w:rsidR="00CA1D4B">
        <w:rPr>
          <w:rFonts w:ascii="Calibri" w:eastAsia="Times" w:hAnsi="Calibri" w:cs="Times New Roman"/>
          <w:b/>
          <w:bCs/>
          <w:kern w:val="0"/>
          <w:sz w:val="24"/>
          <w:szCs w:val="20"/>
          <w14:ligatures w14:val="none"/>
        </w:rPr>
        <w:t>til injeks</w:t>
      </w:r>
      <w:r w:rsidR="00802C21">
        <w:rPr>
          <w:rFonts w:ascii="Calibri" w:eastAsia="Times" w:hAnsi="Calibri" w:cs="Times New Roman"/>
          <w:b/>
          <w:bCs/>
          <w:kern w:val="0"/>
          <w:sz w:val="24"/>
          <w:szCs w:val="20"/>
          <w14:ligatures w14:val="none"/>
        </w:rPr>
        <w:t>j</w:t>
      </w:r>
      <w:r w:rsidR="00CA1D4B">
        <w:rPr>
          <w:rFonts w:ascii="Calibri" w:eastAsia="Times" w:hAnsi="Calibri" w:cs="Times New Roman"/>
          <w:b/>
          <w:bCs/>
          <w:kern w:val="0"/>
          <w:sz w:val="24"/>
          <w:szCs w:val="20"/>
          <w14:ligatures w14:val="none"/>
        </w:rPr>
        <w:t>on</w:t>
      </w:r>
    </w:p>
    <w:bookmarkEnd w:id="0"/>
    <w:p w14:paraId="614B7D31" w14:textId="423E5A01" w:rsidR="00DC1B29" w:rsidRDefault="00DC1B29" w:rsidP="00DC1B29">
      <w:pPr>
        <w:spacing w:after="0" w:line="240" w:lineRule="auto"/>
        <w:rPr>
          <w:rFonts w:ascii="Calibri" w:eastAsia="Times" w:hAnsi="Calibri" w:cs="Times New Roman"/>
          <w:kern w:val="0"/>
          <w:sz w:val="24"/>
          <w:szCs w:val="20"/>
          <w14:ligatures w14:val="none"/>
        </w:rPr>
      </w:pPr>
      <w:r w:rsidRPr="00DC1B29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 xml:space="preserve">Helsedirektoratet har tatt utgangspunkt i antibakterielle midler (J01), antimykotika (J02) og antiviralia (J05) som </w:t>
      </w:r>
      <w:r w:rsidR="00A06CBD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>administreres som injeksjon</w:t>
      </w:r>
      <w:r w:rsidRPr="00DC1B29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 xml:space="preserve">. Ved en </w:t>
      </w:r>
      <w:r w:rsidR="00922B6B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>budsjett</w:t>
      </w:r>
      <w:r w:rsidRPr="00DC1B29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 xml:space="preserve">overføring, inkluderes også utgifter til arbeidspris og engangsutstyr som er nødvendig for tilberedningen. Tilhørende medisinsk utstyr som er nødvendig for at legemidlene kan gis parenteralt/ intravenøst til pasienten finansieres allerede av RHF-ene. </w:t>
      </w:r>
    </w:p>
    <w:p w14:paraId="7B106AAB" w14:textId="77777777" w:rsidR="00C4726D" w:rsidRPr="00DC1B29" w:rsidRDefault="00C4726D" w:rsidP="00DC1B29">
      <w:pPr>
        <w:spacing w:after="0" w:line="240" w:lineRule="auto"/>
        <w:rPr>
          <w:rFonts w:ascii="Calibri" w:eastAsia="Times" w:hAnsi="Calibri" w:cs="Times New Roman"/>
          <w:kern w:val="0"/>
          <w:sz w:val="24"/>
          <w:szCs w:val="20"/>
          <w14:ligatures w14:val="none"/>
        </w:rPr>
      </w:pPr>
    </w:p>
    <w:p w14:paraId="5258F0CA" w14:textId="54599AD0" w:rsidR="008A5C00" w:rsidRDefault="00DC1B29" w:rsidP="00DC1B29">
      <w:pPr>
        <w:spacing w:after="0" w:line="240" w:lineRule="auto"/>
        <w:rPr>
          <w:rFonts w:ascii="Calibri" w:eastAsia="Times" w:hAnsi="Calibri" w:cs="Times New Roman"/>
          <w:kern w:val="0"/>
          <w:sz w:val="24"/>
          <w:szCs w:val="20"/>
          <w14:ligatures w14:val="none"/>
        </w:rPr>
      </w:pPr>
      <w:bookmarkStart w:id="1" w:name="_Hlk185322240"/>
      <w:r w:rsidRPr="00DC1B29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 xml:space="preserve">I </w:t>
      </w:r>
      <w:r w:rsidR="00476259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 xml:space="preserve">tabell </w:t>
      </w:r>
      <w:r w:rsidRPr="00DC1B29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 xml:space="preserve">1 er </w:t>
      </w:r>
      <w:r w:rsidR="00C84E95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>den første delen</w:t>
      </w:r>
      <w:r w:rsidRPr="00DC1B29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 xml:space="preserve"> oversikt over virkestoff med tilhørende ATC-koder</w:t>
      </w:r>
      <w:r w:rsidR="000C788D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 xml:space="preserve"> hvor </w:t>
      </w:r>
      <w:r w:rsidR="00575B78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>alle legemidler som defineres med dette overføres</w:t>
      </w:r>
      <w:r w:rsidRPr="00DC1B29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 xml:space="preserve"> (disse inkluderer også uregistrerte legemidler og halvfabrikata med lokale varenummer). </w:t>
      </w:r>
    </w:p>
    <w:p w14:paraId="7A56BCE6" w14:textId="5E9AAF03" w:rsidR="00476259" w:rsidRDefault="008A5C00" w:rsidP="00DC1B29">
      <w:pPr>
        <w:spacing w:after="0" w:line="240" w:lineRule="auto"/>
        <w:rPr>
          <w:rFonts w:ascii="Calibri" w:eastAsia="Times" w:hAnsi="Calibri" w:cs="Times New Roman"/>
          <w:kern w:val="0"/>
          <w:sz w:val="24"/>
          <w:szCs w:val="20"/>
          <w14:ligatures w14:val="none"/>
        </w:rPr>
      </w:pPr>
      <w:r>
        <w:rPr>
          <w:rFonts w:ascii="Calibri" w:eastAsia="Times" w:hAnsi="Calibri" w:cs="Times New Roman"/>
          <w:kern w:val="0"/>
          <w:sz w:val="24"/>
          <w:szCs w:val="20"/>
          <w14:ligatures w14:val="none"/>
        </w:rPr>
        <w:t xml:space="preserve">I andre del av </w:t>
      </w:r>
      <w:r w:rsidR="005277D2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>tabellen er det kun legemidler til injeksjon</w:t>
      </w:r>
      <w:r w:rsidR="000D240A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 xml:space="preserve"> (ingen andre administrasjonsformer)</w:t>
      </w:r>
      <w:r w:rsidR="005277D2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 xml:space="preserve"> som </w:t>
      </w:r>
      <w:r w:rsidR="00F14261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>overføres.</w:t>
      </w:r>
      <w:r w:rsidR="00DC1B29" w:rsidRPr="00DC1B29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 xml:space="preserve"> Sykehusinnkjøp utarbeide</w:t>
      </w:r>
      <w:r w:rsidR="00F17019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>r</w:t>
      </w:r>
      <w:r w:rsidR="00DC1B29" w:rsidRPr="00DC1B29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 xml:space="preserve"> en liste over konkrete varenummer</w:t>
      </w:r>
      <w:r w:rsidR="00BE6A52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 xml:space="preserve"> som</w:t>
      </w:r>
      <w:r w:rsidR="00DC1B29" w:rsidRPr="00DC1B29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 xml:space="preserve"> blir overført og merket med h-resept. </w:t>
      </w:r>
    </w:p>
    <w:p w14:paraId="41C1B1E5" w14:textId="77777777" w:rsidR="00563366" w:rsidRDefault="00563366" w:rsidP="00DC1B29">
      <w:pPr>
        <w:spacing w:after="0" w:line="240" w:lineRule="auto"/>
        <w:rPr>
          <w:rFonts w:ascii="Calibri" w:eastAsia="Times" w:hAnsi="Calibri" w:cs="Times New Roman"/>
          <w:kern w:val="0"/>
          <w:sz w:val="24"/>
          <w:szCs w:val="20"/>
          <w14:ligatures w14:val="none"/>
        </w:rPr>
      </w:pPr>
    </w:p>
    <w:bookmarkEnd w:id="1"/>
    <w:p w14:paraId="64F8A9BE" w14:textId="77777777" w:rsidR="00667E46" w:rsidRDefault="00667E46" w:rsidP="00851100">
      <w:pPr>
        <w:spacing w:after="0" w:line="240" w:lineRule="auto"/>
        <w:rPr>
          <w:rFonts w:ascii="Calibri" w:eastAsia="Times" w:hAnsi="Calibri" w:cs="Times New Roman"/>
          <w:b/>
          <w:bCs/>
          <w:kern w:val="0"/>
          <w:sz w:val="24"/>
          <w:szCs w:val="20"/>
          <w14:ligatures w14:val="none"/>
        </w:rPr>
      </w:pPr>
    </w:p>
    <w:p w14:paraId="7BA052CD" w14:textId="5384767A" w:rsidR="00F770BA" w:rsidRPr="00DC1B29" w:rsidRDefault="00851100" w:rsidP="00851100">
      <w:pPr>
        <w:spacing w:after="0" w:line="240" w:lineRule="auto"/>
        <w:rPr>
          <w:rFonts w:ascii="Calibri" w:eastAsia="Times" w:hAnsi="Calibri" w:cs="Times New Roman"/>
          <w:kern w:val="0"/>
          <w:sz w:val="24"/>
          <w:szCs w:val="20"/>
          <w14:ligatures w14:val="none"/>
        </w:rPr>
      </w:pPr>
      <w:r w:rsidRPr="00963AE6">
        <w:rPr>
          <w:rFonts w:ascii="Calibri" w:eastAsia="Times" w:hAnsi="Calibri" w:cs="Times New Roman"/>
          <w:b/>
          <w:bCs/>
          <w:kern w:val="0"/>
          <w:sz w:val="24"/>
          <w:szCs w:val="24"/>
          <w14:ligatures w14:val="none"/>
        </w:rPr>
        <w:t xml:space="preserve">Tabell </w:t>
      </w:r>
      <w:r w:rsidR="00C83DAC">
        <w:rPr>
          <w:rFonts w:ascii="Calibri" w:eastAsia="Times" w:hAnsi="Calibri" w:cs="Times New Roman"/>
          <w:b/>
          <w:bCs/>
          <w:kern w:val="0"/>
          <w:sz w:val="24"/>
          <w:szCs w:val="24"/>
          <w14:ligatures w14:val="none"/>
        </w:rPr>
        <w:t>2</w:t>
      </w:r>
      <w:r w:rsidRPr="00963AE6">
        <w:rPr>
          <w:rFonts w:ascii="Calibri" w:eastAsia="Times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DC1B29">
        <w:rPr>
          <w:rFonts w:ascii="Calibri" w:eastAsia="Times" w:hAnsi="Calibri" w:cs="Times New Roman"/>
          <w:b/>
          <w:bCs/>
          <w:kern w:val="0"/>
          <w:sz w:val="24"/>
          <w:szCs w:val="24"/>
          <w14:ligatures w14:val="none"/>
        </w:rPr>
        <w:t xml:space="preserve">Legemidler </w:t>
      </w:r>
      <w:r w:rsidRPr="00963AE6">
        <w:rPr>
          <w:rFonts w:ascii="Calibri" w:eastAsia="Times" w:hAnsi="Calibri" w:cs="Times New Roman"/>
          <w:b/>
          <w:bCs/>
          <w:kern w:val="0"/>
          <w:sz w:val="24"/>
          <w:szCs w:val="24"/>
          <w14:ligatures w14:val="none"/>
        </w:rPr>
        <w:t>mot</w:t>
      </w:r>
      <w:r w:rsidRPr="00DC1B29">
        <w:rPr>
          <w:rFonts w:ascii="Calibri" w:eastAsia="Times" w:hAnsi="Calibri" w:cs="Times New Roman"/>
          <w:b/>
          <w:bCs/>
          <w:kern w:val="0"/>
          <w:sz w:val="24"/>
          <w:szCs w:val="24"/>
          <w14:ligatures w14:val="none"/>
        </w:rPr>
        <w:t xml:space="preserve"> infeksjon </w:t>
      </w:r>
      <w:r w:rsidRPr="00963AE6">
        <w:rPr>
          <w:rFonts w:ascii="Calibri" w:eastAsia="Times" w:hAnsi="Calibri" w:cs="Times New Roman"/>
          <w:b/>
          <w:bCs/>
          <w:kern w:val="0"/>
          <w:sz w:val="24"/>
          <w:szCs w:val="24"/>
          <w14:ligatures w14:val="none"/>
        </w:rPr>
        <w:t>til injeksjon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419"/>
        <w:gridCol w:w="6270"/>
      </w:tblGrid>
      <w:tr w:rsidR="135FAC42" w14:paraId="4B56881D" w14:textId="77777777" w:rsidTr="135FAC42">
        <w:trPr>
          <w:trHeight w:val="300"/>
        </w:trPr>
        <w:tc>
          <w:tcPr>
            <w:tcW w:w="76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9E1856" w14:textId="6043009C" w:rsidR="352DFB39" w:rsidRDefault="352DFB39" w:rsidP="135FAC4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35FAC42">
              <w:rPr>
                <w:rFonts w:ascii="Calibri" w:eastAsia="Calibri" w:hAnsi="Calibri" w:cs="Calibri"/>
                <w:b/>
                <w:bCs/>
                <w:color w:val="000000" w:themeColor="text1"/>
              </w:rPr>
              <w:t>Alle med ATC og tilhørende virkestoff</w:t>
            </w:r>
          </w:p>
        </w:tc>
      </w:tr>
      <w:tr w:rsidR="135FAC42" w14:paraId="1828FAEC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FE10E7" w14:textId="4AB107F3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ATC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B43533" w14:textId="1621BF03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b/>
                <w:bCs/>
                <w:color w:val="000000" w:themeColor="text1"/>
              </w:rPr>
              <w:t>Virkestoff</w:t>
            </w:r>
          </w:p>
        </w:tc>
      </w:tr>
      <w:tr w:rsidR="135FAC42" w14:paraId="74366A10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37F2D1" w14:textId="69926200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J01BA01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A3A13B" w14:textId="142BF6AB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Kloramfenikol</w:t>
            </w:r>
          </w:p>
        </w:tc>
      </w:tr>
      <w:tr w:rsidR="135FAC42" w14:paraId="46AB0355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F83261" w14:textId="6E7A023D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J01CA01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3C236E" w14:textId="2D81305D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Ampicillin</w:t>
            </w:r>
          </w:p>
        </w:tc>
      </w:tr>
      <w:tr w:rsidR="135FAC42" w14:paraId="2BA1A033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396978" w14:textId="4AB20F00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J01CA11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81C337" w14:textId="36A35F3A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Mecillinam</w:t>
            </w:r>
          </w:p>
        </w:tc>
      </w:tr>
      <w:tr w:rsidR="135FAC42" w14:paraId="465F8E57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3D6B19" w14:textId="716E75D6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J01CE01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4C5163" w14:textId="55C7C9C4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 xml:space="preserve">Benzylpenicillin </w:t>
            </w:r>
          </w:p>
        </w:tc>
      </w:tr>
      <w:tr w:rsidR="135FAC42" w14:paraId="4FDEE044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76701A" w14:textId="6F079572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J01CF02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B73E43" w14:textId="70370DC6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Kloksacillin</w:t>
            </w:r>
          </w:p>
        </w:tc>
      </w:tr>
      <w:tr w:rsidR="135FAC42" w14:paraId="603BE5D3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C61CD1" w14:textId="74E51221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J01CR05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CEB844" w14:textId="58BF05AE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Piperacillin og enzymhemmer</w:t>
            </w:r>
          </w:p>
        </w:tc>
      </w:tr>
      <w:tr w:rsidR="135FAC42" w14:paraId="14042678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983C76" w14:textId="5331EE8C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J01DB03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990DB9" w14:textId="1541C0F2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Cefalotin</w:t>
            </w:r>
          </w:p>
        </w:tc>
      </w:tr>
      <w:tr w:rsidR="135FAC42" w14:paraId="096429FB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77D326" w14:textId="2A4CB6AA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J01DB04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9A87C5" w14:textId="22D992EE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Cefazolin</w:t>
            </w:r>
          </w:p>
        </w:tc>
      </w:tr>
      <w:tr w:rsidR="135FAC42" w14:paraId="5F90CF86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5E66BC" w14:textId="3135B63F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J01DC02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9FFBB4" w14:textId="705F64C3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Cefuroksim</w:t>
            </w:r>
          </w:p>
        </w:tc>
      </w:tr>
      <w:tr w:rsidR="135FAC42" w14:paraId="02480EAA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350A4F" w14:textId="41B44D18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J01DD01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B54F14" w14:textId="4E3226E9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Cefotaksim</w:t>
            </w:r>
          </w:p>
        </w:tc>
      </w:tr>
      <w:tr w:rsidR="135FAC42" w14:paraId="587ED30B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6A10AA" w14:textId="4B9088E3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J01DD02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29C437" w14:textId="6E6F5707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Ceftazidim</w:t>
            </w:r>
          </w:p>
        </w:tc>
      </w:tr>
      <w:tr w:rsidR="135FAC42" w14:paraId="6F26DE6A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8CEA3C" w14:textId="72626C8E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J01DD04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BB59BC" w14:textId="016E432E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Ceftriaxon</w:t>
            </w:r>
          </w:p>
        </w:tc>
      </w:tr>
      <w:tr w:rsidR="135FAC42" w14:paraId="68538ABE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45830E" w14:textId="792E7826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J01DD52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EE8F24" w14:textId="5436B003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Ceftazidim komb</w:t>
            </w:r>
          </w:p>
        </w:tc>
      </w:tr>
      <w:tr w:rsidR="135FAC42" w14:paraId="513249AC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CEE94A" w14:textId="5CD3893F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J01DE01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B923FA" w14:textId="64C837A1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Cefepim</w:t>
            </w:r>
          </w:p>
        </w:tc>
      </w:tr>
      <w:tr w:rsidR="135FAC42" w14:paraId="67A279BD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43E8FF" w14:textId="52CE135A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J01DH02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88AD58" w14:textId="0EC85B12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Meropenem</w:t>
            </w:r>
          </w:p>
        </w:tc>
      </w:tr>
      <w:tr w:rsidR="135FAC42" w14:paraId="7A660C99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7EDAE9" w14:textId="4951D91E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J01DH03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A7E268" w14:textId="14884910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Ertapenem</w:t>
            </w:r>
          </w:p>
        </w:tc>
      </w:tr>
      <w:tr w:rsidR="135FAC42" w14:paraId="48820DAA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595BD4" w14:textId="3108653E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J01DH51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D9035C" w14:textId="3E2A4F67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Imipenem og cilastatin</w:t>
            </w:r>
          </w:p>
        </w:tc>
      </w:tr>
      <w:tr w:rsidR="135FAC42" w14:paraId="7DC63C9E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6DBFF7" w14:textId="6F7A384E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J01DI01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02C8F3" w14:textId="30F8790F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Ceftobiprolmedokarilnatrium</w:t>
            </w:r>
          </w:p>
        </w:tc>
      </w:tr>
      <w:tr w:rsidR="135FAC42" w14:paraId="524E3CCE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05A232" w14:textId="5EBE6160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J01DI02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723232" w14:textId="4BC2C754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Ceftarolinfosamil</w:t>
            </w:r>
          </w:p>
        </w:tc>
      </w:tr>
      <w:tr w:rsidR="135FAC42" w14:paraId="7F5003A1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E51F0F" w14:textId="79705E58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J01DI54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F4FD15" w14:textId="30D46196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Ceftolozan comb.</w:t>
            </w:r>
          </w:p>
        </w:tc>
      </w:tr>
      <w:tr w:rsidR="135FAC42" w14:paraId="37481535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A4EFCA" w14:textId="1E602BBF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J01GB03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D7C39F" w14:textId="705D674D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Gentamycin</w:t>
            </w:r>
          </w:p>
        </w:tc>
      </w:tr>
      <w:tr w:rsidR="135FAC42" w14:paraId="3E82FDED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069C0F" w14:textId="7C6841E1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J01XA01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9252E5" w14:textId="7465D958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Vankomycin</w:t>
            </w:r>
          </w:p>
        </w:tc>
      </w:tr>
      <w:tr w:rsidR="135FAC42" w14:paraId="7E432CEF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9D9A6D" w14:textId="2EA7ABF5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J01XA04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7BB3C6" w14:textId="4F5E07CA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Dalbavancin</w:t>
            </w:r>
          </w:p>
        </w:tc>
      </w:tr>
      <w:tr w:rsidR="135FAC42" w14:paraId="4B858416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22F2F4" w14:textId="4E4673BE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J01XD01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1315D2" w14:textId="74165507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Metronidazol</w:t>
            </w:r>
          </w:p>
        </w:tc>
      </w:tr>
      <w:tr w:rsidR="135FAC42" w14:paraId="2F135536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252F95" w14:textId="73B67F54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J01XX01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7A53DC" w14:textId="131D87B7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Fosfomycin</w:t>
            </w:r>
          </w:p>
        </w:tc>
      </w:tr>
      <w:tr w:rsidR="135FAC42" w14:paraId="5FE84377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E06477" w14:textId="70018E22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J01XX09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F32378" w14:textId="2DAAEA87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Daptomycin</w:t>
            </w:r>
          </w:p>
        </w:tc>
      </w:tr>
      <w:tr w:rsidR="135FAC42" w14:paraId="60098B22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3543B7" w14:textId="64F222C0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J01AA12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BDA3B5" w14:textId="7EABD4FB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Tigesyklin</w:t>
            </w:r>
          </w:p>
        </w:tc>
      </w:tr>
      <w:tr w:rsidR="135FAC42" w14:paraId="22EB4C3A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35E3F8" w14:textId="53EB1D80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J02AX05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7EA7B9" w14:textId="74B16DD0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Mikafungin</w:t>
            </w:r>
          </w:p>
        </w:tc>
      </w:tr>
      <w:tr w:rsidR="135FAC42" w14:paraId="31F1A9E6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141E1C" w14:textId="2A139A65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J02AX06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ACAB2E" w14:textId="781BE17F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Anidulafungin</w:t>
            </w:r>
          </w:p>
        </w:tc>
      </w:tr>
      <w:tr w:rsidR="135FAC42" w14:paraId="04243A2F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D98808" w14:textId="5FA9749B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J02AA01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27F271" w14:textId="1E2202E4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Amfotericin</w:t>
            </w:r>
          </w:p>
        </w:tc>
      </w:tr>
      <w:tr w:rsidR="135FAC42" w14:paraId="0F813F75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9243E8" w14:textId="5BE03C31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J05AB06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D38B0B" w14:textId="6BC04FE9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Ganciklovir</w:t>
            </w:r>
          </w:p>
        </w:tc>
      </w:tr>
      <w:tr w:rsidR="135FAC42" w14:paraId="5D9165AC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E869A1" w14:textId="0C449C58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J05AB12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2A7A80" w14:textId="43F4DED6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Cidofovir</w:t>
            </w:r>
          </w:p>
        </w:tc>
      </w:tr>
      <w:tr w:rsidR="135FAC42" w14:paraId="20EA9DE6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ADCF8F" w14:textId="70C032E2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J05AD01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08D7CA" w14:textId="3CA2DC21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Foskarnet</w:t>
            </w:r>
          </w:p>
        </w:tc>
      </w:tr>
      <w:tr w:rsidR="00EA4B35" w14:paraId="51DE95D8" w14:textId="77777777" w:rsidTr="135FAC42">
        <w:trPr>
          <w:trHeight w:val="300"/>
        </w:trPr>
        <w:tc>
          <w:tcPr>
            <w:tcW w:w="7689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CBD607" w14:textId="77777777" w:rsidR="00EA4B35" w:rsidRDefault="00EA4B35" w:rsidP="135FAC4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35FAC42" w14:paraId="03E6596C" w14:textId="77777777" w:rsidTr="135FAC42">
        <w:trPr>
          <w:trHeight w:val="285"/>
        </w:trPr>
        <w:tc>
          <w:tcPr>
            <w:tcW w:w="7689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35D835" w14:textId="7692F9BC" w:rsidR="135FAC42" w:rsidRDefault="135FAC42" w:rsidP="135FAC42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35FAC42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Kun </w:t>
            </w:r>
            <w:r w:rsidR="45EBC00B" w:rsidRPr="135FAC42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legemidler </w:t>
            </w:r>
            <w:r w:rsidRPr="135FAC42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til injeksjon, ikke </w:t>
            </w:r>
            <w:r w:rsidR="3E7EDA6C" w:rsidRPr="135FAC42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hele </w:t>
            </w:r>
            <w:r w:rsidRPr="135FAC42">
              <w:rPr>
                <w:rFonts w:ascii="Calibri" w:eastAsia="Calibri" w:hAnsi="Calibri" w:cs="Calibri"/>
                <w:b/>
                <w:bCs/>
                <w:color w:val="000000" w:themeColor="text1"/>
              </w:rPr>
              <w:t>ATC</w:t>
            </w:r>
            <w:r w:rsidR="7CFFC14A" w:rsidRPr="135FAC42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og virkestoff</w:t>
            </w:r>
          </w:p>
        </w:tc>
      </w:tr>
      <w:tr w:rsidR="135FAC42" w14:paraId="39A6E7D7" w14:textId="77777777" w:rsidTr="135FAC42">
        <w:trPr>
          <w:trHeight w:val="285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B09B72" w14:textId="40A3ED7A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b/>
                <w:bCs/>
                <w:color w:val="000000" w:themeColor="text1"/>
              </w:rPr>
              <w:t>ATC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0683E5" w14:textId="316F9E69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b/>
                <w:bCs/>
                <w:color w:val="000000" w:themeColor="text1"/>
              </w:rPr>
              <w:t>Virkestoff</w:t>
            </w:r>
          </w:p>
        </w:tc>
      </w:tr>
      <w:tr w:rsidR="135FAC42" w14:paraId="78216BE6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834232" w14:textId="745E7969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J01CR02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B99B8B" w14:textId="0B46BE8C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Amoksicillin, Klavulansyre</w:t>
            </w:r>
          </w:p>
        </w:tc>
      </w:tr>
      <w:tr w:rsidR="135FAC42" w14:paraId="3F8935FC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E54322" w14:textId="51F3BA17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J01DF01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7DEB7D" w14:textId="0DF8E42D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Aztreonam</w:t>
            </w:r>
          </w:p>
        </w:tc>
      </w:tr>
      <w:tr w:rsidR="135FAC42" w14:paraId="756E0865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F5D423" w14:textId="741F32F1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J01EE01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7CF257" w14:textId="4D2583DD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Trimetoprim, Sulfametoksazol</w:t>
            </w:r>
          </w:p>
        </w:tc>
      </w:tr>
      <w:tr w:rsidR="135FAC42" w14:paraId="055648A0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38F413" w14:textId="5E2A1897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J01FA01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D349BE" w14:textId="6D01CD0C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Erytromycin</w:t>
            </w:r>
          </w:p>
        </w:tc>
      </w:tr>
      <w:tr w:rsidR="135FAC42" w14:paraId="1CD84DDA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1C3928" w14:textId="34C55B89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J01FA10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E4FBB6" w14:textId="4C4C840E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Azitromycin</w:t>
            </w:r>
          </w:p>
        </w:tc>
      </w:tr>
      <w:tr w:rsidR="135FAC42" w14:paraId="7E68E4CF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39A0A0" w14:textId="444D12A0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lastRenderedPageBreak/>
              <w:t>J01FF01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F10916" w14:textId="20A2093D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Klindamycin</w:t>
            </w:r>
          </w:p>
        </w:tc>
      </w:tr>
      <w:tr w:rsidR="135FAC42" w14:paraId="0658A8CA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A2C5C3" w14:textId="5C442E8E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J01GB01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51C225" w14:textId="39FC693D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Tobramycin</w:t>
            </w:r>
          </w:p>
        </w:tc>
      </w:tr>
      <w:tr w:rsidR="135FAC42" w14:paraId="65AC7F3B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90F6F9" w14:textId="6CC7ED7E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J01GB06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9BFEC7" w14:textId="35298BE8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Amikacin</w:t>
            </w:r>
          </w:p>
        </w:tc>
      </w:tr>
      <w:tr w:rsidR="135FAC42" w14:paraId="78F27236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A00928" w14:textId="654F408B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J01MA02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3119A7" w14:textId="637A38C8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Ciprofloksacin</w:t>
            </w:r>
          </w:p>
        </w:tc>
      </w:tr>
      <w:tr w:rsidR="135FAC42" w14:paraId="608F19FB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1A82A3" w14:textId="216F312D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J01XB01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6998D0" w14:textId="6278A181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Kolistin</w:t>
            </w:r>
          </w:p>
        </w:tc>
      </w:tr>
      <w:tr w:rsidR="135FAC42" w14:paraId="2596B07C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7D42F9" w14:textId="50DE599E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J01XX08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4EA8EA" w14:textId="504709DE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Linezolid</w:t>
            </w:r>
          </w:p>
        </w:tc>
      </w:tr>
      <w:tr w:rsidR="135FAC42" w14:paraId="1159F1A9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57C344" w14:textId="7342E1CF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J01XX11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0885DB" w14:textId="4D140B6C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Tedizolid</w:t>
            </w:r>
          </w:p>
        </w:tc>
      </w:tr>
      <w:tr w:rsidR="135FAC42" w14:paraId="7D500493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C483CF" w14:textId="3345AFA4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J01AA02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F3FD16" w14:textId="54290DB2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Doksysyklin</w:t>
            </w:r>
          </w:p>
        </w:tc>
      </w:tr>
      <w:tr w:rsidR="135FAC42" w14:paraId="73270E3E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6A5CF9" w14:textId="22CA1AC5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J02AC01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D2CFF0" w14:textId="19EE6C1C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Flukonazol</w:t>
            </w:r>
          </w:p>
        </w:tc>
      </w:tr>
      <w:tr w:rsidR="135FAC42" w14:paraId="73E29CFB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057607" w14:textId="732CFFCA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J02AC03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650CF6" w14:textId="4D318622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Vorikonazol</w:t>
            </w:r>
          </w:p>
        </w:tc>
      </w:tr>
      <w:tr w:rsidR="135FAC42" w14:paraId="4D94739B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47E08C" w14:textId="2860933C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J02AC04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77F7C3" w14:textId="58405094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Posakonazol</w:t>
            </w:r>
          </w:p>
        </w:tc>
      </w:tr>
      <w:tr w:rsidR="135FAC42" w14:paraId="39DCFC0F" w14:textId="77777777" w:rsidTr="135FAC42">
        <w:trPr>
          <w:trHeight w:val="300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4EE846" w14:textId="465C9DAC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J05AB01</w:t>
            </w:r>
          </w:p>
        </w:tc>
        <w:tc>
          <w:tcPr>
            <w:tcW w:w="6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757A8D" w14:textId="218319D2" w:rsidR="135FAC42" w:rsidRDefault="135FAC42" w:rsidP="135FAC42">
            <w:pPr>
              <w:spacing w:after="0"/>
            </w:pPr>
            <w:r w:rsidRPr="135FAC42">
              <w:rPr>
                <w:rFonts w:ascii="Calibri" w:eastAsia="Calibri" w:hAnsi="Calibri" w:cs="Calibri"/>
                <w:color w:val="000000" w:themeColor="text1"/>
              </w:rPr>
              <w:t>Aciklovir</w:t>
            </w:r>
          </w:p>
        </w:tc>
      </w:tr>
    </w:tbl>
    <w:p w14:paraId="2DAA65B5" w14:textId="2E902334" w:rsidR="00741C6E" w:rsidRPr="00DC1B29" w:rsidRDefault="00741C6E" w:rsidP="00DC1B29">
      <w:pPr>
        <w:spacing w:after="0" w:line="240" w:lineRule="auto"/>
        <w:rPr>
          <w:rFonts w:ascii="Calibri" w:eastAsia="Times" w:hAnsi="Calibri" w:cs="Times New Roman"/>
          <w:kern w:val="0"/>
          <w:sz w:val="24"/>
          <w:szCs w:val="24"/>
          <w14:ligatures w14:val="none"/>
        </w:rPr>
      </w:pPr>
    </w:p>
    <w:p w14:paraId="1337E548" w14:textId="46AAC78F" w:rsidR="00017194" w:rsidRDefault="007E6D26">
      <w:pPr>
        <w:rPr>
          <w:rFonts w:ascii="Calibri" w:eastAsia="Times" w:hAnsi="Calibri" w:cs="Times New Roman"/>
          <w:b/>
          <w:bCs/>
          <w:kern w:val="0"/>
          <w:sz w:val="24"/>
          <w:szCs w:val="20"/>
          <w14:ligatures w14:val="none"/>
        </w:rPr>
      </w:pPr>
      <w:r w:rsidRPr="00FB55E0">
        <w:rPr>
          <w:rFonts w:ascii="Calibri" w:eastAsia="Times" w:hAnsi="Calibri" w:cs="Times New Roman"/>
          <w:b/>
          <w:bCs/>
          <w:kern w:val="0"/>
          <w:sz w:val="24"/>
          <w:szCs w:val="20"/>
          <w14:ligatures w14:val="none"/>
        </w:rPr>
        <w:t>Leg</w:t>
      </w:r>
      <w:r w:rsidR="00FB55E0" w:rsidRPr="00FB55E0">
        <w:rPr>
          <w:rFonts w:ascii="Calibri" w:eastAsia="Times" w:hAnsi="Calibri" w:cs="Times New Roman"/>
          <w:b/>
          <w:bCs/>
          <w:kern w:val="0"/>
          <w:sz w:val="24"/>
          <w:szCs w:val="20"/>
          <w14:ligatures w14:val="none"/>
        </w:rPr>
        <w:t>emidler mot tuberkulose</w:t>
      </w:r>
    </w:p>
    <w:p w14:paraId="4160231D" w14:textId="48A1DC08" w:rsidR="00B45FB7" w:rsidRDefault="007243CD" w:rsidP="00B45FB7">
      <w:pPr>
        <w:spacing w:after="0" w:line="240" w:lineRule="auto"/>
        <w:rPr>
          <w:rFonts w:ascii="Calibri" w:eastAsia="Times" w:hAnsi="Calibri" w:cs="Times New Roman"/>
          <w:kern w:val="0"/>
          <w:sz w:val="24"/>
          <w:szCs w:val="20"/>
          <w14:ligatures w14:val="none"/>
        </w:rPr>
      </w:pPr>
      <w:r>
        <w:rPr>
          <w:rFonts w:ascii="Calibri" w:eastAsia="Times" w:hAnsi="Calibri" w:cs="Times New Roman"/>
          <w:kern w:val="0"/>
          <w:sz w:val="24"/>
          <w:szCs w:val="20"/>
          <w14:ligatures w14:val="none"/>
        </w:rPr>
        <w:t>Alle virkestoff med ATC</w:t>
      </w:r>
      <w:r w:rsidR="009A6FE1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>-kode som starter med J04A overføres</w:t>
      </w:r>
      <w:r w:rsidR="00A66C0F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 xml:space="preserve">. Videre i tabellen defineres legemidlene med virkestoff og tilhørende </w:t>
      </w:r>
      <w:r w:rsidR="006059F8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>ATC-kode</w:t>
      </w:r>
      <w:r w:rsidR="001B217F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 xml:space="preserve"> og evt til peroralt bruk for de 3 siste</w:t>
      </w:r>
      <w:r w:rsidR="006059F8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>.</w:t>
      </w:r>
      <w:r w:rsidR="00FD003C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 xml:space="preserve"> </w:t>
      </w:r>
      <w:r w:rsidR="0056194E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>Uregistrerte legemidler og all bruk av legemidlene inkluderes i overføringen av finansieringsansvar.</w:t>
      </w:r>
    </w:p>
    <w:p w14:paraId="202FD97E" w14:textId="5E0369FC" w:rsidR="00B45FB7" w:rsidRDefault="00B45FB7" w:rsidP="00B45FB7">
      <w:pPr>
        <w:spacing w:after="0" w:line="240" w:lineRule="auto"/>
        <w:rPr>
          <w:rFonts w:ascii="Calibri" w:eastAsia="Times" w:hAnsi="Calibri" w:cs="Times New Roman"/>
          <w:kern w:val="0"/>
          <w:sz w:val="24"/>
          <w:szCs w:val="20"/>
          <w14:ligatures w14:val="none"/>
        </w:rPr>
      </w:pPr>
      <w:r w:rsidRPr="00DC1B29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>Sykehusinnkjøp utarbeide</w:t>
      </w:r>
      <w:r>
        <w:rPr>
          <w:rFonts w:ascii="Calibri" w:eastAsia="Times" w:hAnsi="Calibri" w:cs="Times New Roman"/>
          <w:kern w:val="0"/>
          <w:sz w:val="24"/>
          <w:szCs w:val="20"/>
          <w14:ligatures w14:val="none"/>
        </w:rPr>
        <w:t>r</w:t>
      </w:r>
      <w:r w:rsidRPr="00DC1B29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 xml:space="preserve"> en liste over konkrete varenummer</w:t>
      </w:r>
      <w:r>
        <w:rPr>
          <w:rFonts w:ascii="Calibri" w:eastAsia="Times" w:hAnsi="Calibri" w:cs="Times New Roman"/>
          <w:kern w:val="0"/>
          <w:sz w:val="24"/>
          <w:szCs w:val="20"/>
          <w14:ligatures w14:val="none"/>
        </w:rPr>
        <w:t xml:space="preserve"> som</w:t>
      </w:r>
      <w:r w:rsidRPr="00DC1B29">
        <w:rPr>
          <w:rFonts w:ascii="Calibri" w:eastAsia="Times" w:hAnsi="Calibri" w:cs="Times New Roman"/>
          <w:kern w:val="0"/>
          <w:sz w:val="24"/>
          <w:szCs w:val="20"/>
          <w14:ligatures w14:val="none"/>
        </w:rPr>
        <w:t xml:space="preserve"> blir overført og merket med h-resept. </w:t>
      </w:r>
    </w:p>
    <w:p w14:paraId="7B313D64" w14:textId="77777777" w:rsidR="00B45FB7" w:rsidRPr="00FB55E0" w:rsidRDefault="00B45FB7">
      <w:pPr>
        <w:rPr>
          <w:rFonts w:ascii="Calibri" w:eastAsia="Times" w:hAnsi="Calibri" w:cs="Times New Roman"/>
          <w:b/>
          <w:bCs/>
          <w:kern w:val="0"/>
          <w:sz w:val="24"/>
          <w:szCs w:val="20"/>
          <w14:ligatures w14:val="none"/>
        </w:rPr>
      </w:pPr>
    </w:p>
    <w:p w14:paraId="12DA44AD" w14:textId="40D60F05" w:rsidR="00B45FB7" w:rsidRPr="00B45FB7" w:rsidRDefault="00B45FB7" w:rsidP="00B45FB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B45FB7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 xml:space="preserve">Tabell </w:t>
      </w:r>
      <w:r w:rsidR="0086152E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3</w:t>
      </w:r>
      <w:r w:rsidRPr="00B45FB7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 xml:space="preserve">. Legemidler </w:t>
      </w:r>
      <w:r w:rsidR="0086152E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mot tuberkulose</w:t>
      </w:r>
      <w:r w:rsidRPr="00B45FB7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 </w:t>
      </w:r>
    </w:p>
    <w:tbl>
      <w:tblPr>
        <w:tblW w:w="7647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6237"/>
      </w:tblGrid>
      <w:tr w:rsidR="00EA4B35" w:rsidRPr="00EA4B35" w14:paraId="296B0703" w14:textId="77777777" w:rsidTr="00EA4B35">
        <w:trPr>
          <w:trHeight w:val="300"/>
        </w:trPr>
        <w:tc>
          <w:tcPr>
            <w:tcW w:w="1410" w:type="dxa"/>
            <w:shd w:val="clear" w:color="auto" w:fill="auto"/>
            <w:hideMark/>
          </w:tcPr>
          <w:p w14:paraId="62383D07" w14:textId="77777777" w:rsidR="00EA4B35" w:rsidRPr="00B45FB7" w:rsidRDefault="00EA4B35" w:rsidP="00EA4B35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B45FB7">
              <w:rPr>
                <w:rFonts w:ascii="Calibri" w:eastAsia="Calibri" w:hAnsi="Calibri" w:cs="Calibri"/>
                <w:b/>
                <w:bCs/>
                <w:color w:val="000000" w:themeColor="text1"/>
              </w:rPr>
              <w:t>ATC-kode </w:t>
            </w:r>
          </w:p>
        </w:tc>
        <w:tc>
          <w:tcPr>
            <w:tcW w:w="6237" w:type="dxa"/>
            <w:shd w:val="clear" w:color="auto" w:fill="auto"/>
            <w:hideMark/>
          </w:tcPr>
          <w:p w14:paraId="228A299C" w14:textId="791015CA" w:rsidR="00EA4B35" w:rsidRPr="00B45FB7" w:rsidRDefault="00EA4B35" w:rsidP="00EA4B35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EA4B35">
              <w:rPr>
                <w:rFonts w:ascii="Calibri" w:eastAsia="Calibri" w:hAnsi="Calibri" w:cs="Calibri"/>
                <w:b/>
                <w:bCs/>
                <w:color w:val="000000" w:themeColor="text1"/>
              </w:rPr>
              <w:t>Virkestoff</w:t>
            </w:r>
          </w:p>
        </w:tc>
      </w:tr>
      <w:tr w:rsidR="00EA4B35" w:rsidRPr="00EA4B35" w14:paraId="0CE3A3FD" w14:textId="77777777" w:rsidTr="00EA4B35">
        <w:trPr>
          <w:trHeight w:val="300"/>
        </w:trPr>
        <w:tc>
          <w:tcPr>
            <w:tcW w:w="1410" w:type="dxa"/>
            <w:shd w:val="clear" w:color="auto" w:fill="auto"/>
            <w:hideMark/>
          </w:tcPr>
          <w:p w14:paraId="26FFBF7C" w14:textId="77777777" w:rsidR="00EA4B35" w:rsidRPr="00B45FB7" w:rsidRDefault="00EA4B35" w:rsidP="00EA4B3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45FB7">
              <w:rPr>
                <w:rFonts w:ascii="Calibri" w:eastAsia="Calibri" w:hAnsi="Calibri" w:cs="Calibri"/>
                <w:color w:val="000000" w:themeColor="text1"/>
              </w:rPr>
              <w:t>J04A </w:t>
            </w:r>
          </w:p>
        </w:tc>
        <w:tc>
          <w:tcPr>
            <w:tcW w:w="6237" w:type="dxa"/>
            <w:shd w:val="clear" w:color="auto" w:fill="auto"/>
            <w:hideMark/>
          </w:tcPr>
          <w:p w14:paraId="3C61BEDB" w14:textId="26082DA3" w:rsidR="00EA4B35" w:rsidRPr="00B45FB7" w:rsidRDefault="00EA4B35" w:rsidP="00EA4B3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EA4B35">
              <w:rPr>
                <w:rFonts w:ascii="Calibri" w:eastAsia="Calibri" w:hAnsi="Calibri" w:cs="Calibri"/>
                <w:color w:val="000000" w:themeColor="text1"/>
              </w:rPr>
              <w:t>Alle virkestoff i ATC-gruppen</w:t>
            </w:r>
          </w:p>
        </w:tc>
      </w:tr>
      <w:tr w:rsidR="00EA4B35" w:rsidRPr="00EA4B35" w14:paraId="0FE195ED" w14:textId="77777777" w:rsidTr="00EA4B35">
        <w:trPr>
          <w:trHeight w:val="300"/>
        </w:trPr>
        <w:tc>
          <w:tcPr>
            <w:tcW w:w="1410" w:type="dxa"/>
            <w:shd w:val="clear" w:color="auto" w:fill="auto"/>
            <w:hideMark/>
          </w:tcPr>
          <w:p w14:paraId="4C711988" w14:textId="77777777" w:rsidR="00EA4B35" w:rsidRPr="00B45FB7" w:rsidRDefault="00EA4B35" w:rsidP="00EA4B3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45FB7">
              <w:rPr>
                <w:rFonts w:ascii="Calibri" w:eastAsia="Calibri" w:hAnsi="Calibri" w:cs="Calibri"/>
                <w:color w:val="000000" w:themeColor="text1"/>
              </w:rPr>
              <w:t>J04BA01 </w:t>
            </w:r>
          </w:p>
        </w:tc>
        <w:tc>
          <w:tcPr>
            <w:tcW w:w="6237" w:type="dxa"/>
            <w:shd w:val="clear" w:color="auto" w:fill="auto"/>
            <w:hideMark/>
          </w:tcPr>
          <w:p w14:paraId="29ED4E4C" w14:textId="4FB14B75" w:rsidR="00EA4B35" w:rsidRPr="00B45FB7" w:rsidRDefault="00EA4B35" w:rsidP="00EA4B3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EA4B35">
              <w:rPr>
                <w:rFonts w:ascii="Calibri" w:eastAsia="Calibri" w:hAnsi="Calibri" w:cs="Calibri"/>
                <w:color w:val="000000" w:themeColor="text1"/>
              </w:rPr>
              <w:t>Klofazimin</w:t>
            </w:r>
          </w:p>
        </w:tc>
      </w:tr>
      <w:tr w:rsidR="00EA4B35" w:rsidRPr="00EA4B35" w14:paraId="246CB7C3" w14:textId="77777777" w:rsidTr="00EA4B35">
        <w:trPr>
          <w:trHeight w:val="300"/>
        </w:trPr>
        <w:tc>
          <w:tcPr>
            <w:tcW w:w="1410" w:type="dxa"/>
            <w:shd w:val="clear" w:color="auto" w:fill="auto"/>
            <w:hideMark/>
          </w:tcPr>
          <w:p w14:paraId="50ADDF8F" w14:textId="77777777" w:rsidR="00EA4B35" w:rsidRPr="00B45FB7" w:rsidRDefault="00EA4B35" w:rsidP="00EA4B3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45FB7">
              <w:rPr>
                <w:rFonts w:ascii="Calibri" w:eastAsia="Calibri" w:hAnsi="Calibri" w:cs="Calibri"/>
                <w:color w:val="000000" w:themeColor="text1"/>
              </w:rPr>
              <w:t>A11HA02 </w:t>
            </w:r>
          </w:p>
        </w:tc>
        <w:tc>
          <w:tcPr>
            <w:tcW w:w="6237" w:type="dxa"/>
            <w:shd w:val="clear" w:color="auto" w:fill="auto"/>
            <w:hideMark/>
          </w:tcPr>
          <w:p w14:paraId="39664B8A" w14:textId="5F70FD36" w:rsidR="00EA4B35" w:rsidRPr="00B45FB7" w:rsidRDefault="00EA4B35" w:rsidP="00EA4B3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45FB7">
              <w:rPr>
                <w:rFonts w:ascii="Calibri" w:eastAsia="Calibri" w:hAnsi="Calibri" w:cs="Calibri"/>
                <w:color w:val="000000" w:themeColor="text1"/>
              </w:rPr>
              <w:t>Pyridoksin (Vit B6)  </w:t>
            </w:r>
          </w:p>
        </w:tc>
      </w:tr>
      <w:tr w:rsidR="00EA4B35" w:rsidRPr="00EA4B35" w14:paraId="134BE6D2" w14:textId="77777777" w:rsidTr="00EA4B35">
        <w:trPr>
          <w:trHeight w:val="300"/>
        </w:trPr>
        <w:tc>
          <w:tcPr>
            <w:tcW w:w="1410" w:type="dxa"/>
            <w:shd w:val="clear" w:color="auto" w:fill="auto"/>
            <w:hideMark/>
          </w:tcPr>
          <w:p w14:paraId="1D13A393" w14:textId="77777777" w:rsidR="00EA4B35" w:rsidRPr="00B45FB7" w:rsidRDefault="00EA4B35" w:rsidP="00EA4B3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45FB7">
              <w:rPr>
                <w:rFonts w:ascii="Calibri" w:eastAsia="Calibri" w:hAnsi="Calibri" w:cs="Calibri"/>
                <w:color w:val="000000" w:themeColor="text1"/>
              </w:rPr>
              <w:t>J01MA12 </w:t>
            </w:r>
          </w:p>
        </w:tc>
        <w:tc>
          <w:tcPr>
            <w:tcW w:w="6237" w:type="dxa"/>
            <w:shd w:val="clear" w:color="auto" w:fill="auto"/>
            <w:hideMark/>
          </w:tcPr>
          <w:p w14:paraId="15770D74" w14:textId="6EF247D8" w:rsidR="00EA4B35" w:rsidRPr="00B45FB7" w:rsidRDefault="00EA4B35" w:rsidP="00EA4B3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45FB7">
              <w:rPr>
                <w:rFonts w:ascii="Calibri" w:eastAsia="Calibri" w:hAnsi="Calibri" w:cs="Calibri"/>
                <w:color w:val="000000" w:themeColor="text1"/>
              </w:rPr>
              <w:t>Levofloksacin til peroralt bruk</w:t>
            </w:r>
            <w:r w:rsidRPr="00EA4B3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45FB7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</w:tc>
      </w:tr>
      <w:tr w:rsidR="00EA4B35" w:rsidRPr="00EA4B35" w14:paraId="31094BE0" w14:textId="77777777" w:rsidTr="00EA4B35">
        <w:trPr>
          <w:trHeight w:val="300"/>
        </w:trPr>
        <w:tc>
          <w:tcPr>
            <w:tcW w:w="1410" w:type="dxa"/>
            <w:shd w:val="clear" w:color="auto" w:fill="auto"/>
            <w:hideMark/>
          </w:tcPr>
          <w:p w14:paraId="549E079D" w14:textId="77777777" w:rsidR="00EA4B35" w:rsidRPr="00B45FB7" w:rsidRDefault="00EA4B35" w:rsidP="00EA4B3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45FB7">
              <w:rPr>
                <w:rFonts w:ascii="Calibri" w:eastAsia="Calibri" w:hAnsi="Calibri" w:cs="Calibri"/>
                <w:color w:val="000000" w:themeColor="text1"/>
              </w:rPr>
              <w:t>J01MA14 </w:t>
            </w:r>
          </w:p>
        </w:tc>
        <w:tc>
          <w:tcPr>
            <w:tcW w:w="6237" w:type="dxa"/>
            <w:shd w:val="clear" w:color="auto" w:fill="auto"/>
            <w:hideMark/>
          </w:tcPr>
          <w:p w14:paraId="4D96E62E" w14:textId="05CD9762" w:rsidR="00EA4B35" w:rsidRPr="00B45FB7" w:rsidRDefault="00EA4B35" w:rsidP="00EA4B3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EA4B35">
              <w:rPr>
                <w:rFonts w:ascii="Calibri" w:eastAsia="Calibri" w:hAnsi="Calibri" w:cs="Calibri"/>
                <w:color w:val="000000" w:themeColor="text1"/>
              </w:rPr>
              <w:t>Moksifloksacin til peroralt bruk</w:t>
            </w:r>
            <w:r w:rsidRPr="00B45FB7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</w:tc>
      </w:tr>
      <w:tr w:rsidR="00EA4B35" w:rsidRPr="00EA4B35" w14:paraId="3B30F67E" w14:textId="77777777" w:rsidTr="00EA4B35">
        <w:trPr>
          <w:trHeight w:val="300"/>
        </w:trPr>
        <w:tc>
          <w:tcPr>
            <w:tcW w:w="1410" w:type="dxa"/>
            <w:shd w:val="clear" w:color="auto" w:fill="auto"/>
            <w:hideMark/>
          </w:tcPr>
          <w:p w14:paraId="315F0791" w14:textId="77777777" w:rsidR="00EA4B35" w:rsidRPr="00B45FB7" w:rsidRDefault="00EA4B35" w:rsidP="00EA4B3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45FB7">
              <w:rPr>
                <w:rFonts w:ascii="Calibri" w:eastAsia="Calibri" w:hAnsi="Calibri" w:cs="Calibri"/>
                <w:color w:val="000000" w:themeColor="text1"/>
              </w:rPr>
              <w:t>J01XX08 </w:t>
            </w:r>
          </w:p>
        </w:tc>
        <w:tc>
          <w:tcPr>
            <w:tcW w:w="6237" w:type="dxa"/>
            <w:shd w:val="clear" w:color="auto" w:fill="auto"/>
            <w:hideMark/>
          </w:tcPr>
          <w:p w14:paraId="25B21088" w14:textId="460541A2" w:rsidR="00EA4B35" w:rsidRPr="00B45FB7" w:rsidRDefault="00EA4B35" w:rsidP="00EA4B3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B45FB7">
              <w:rPr>
                <w:rFonts w:ascii="Calibri" w:eastAsia="Calibri" w:hAnsi="Calibri" w:cs="Calibri"/>
                <w:color w:val="000000" w:themeColor="text1"/>
              </w:rPr>
              <w:t>Linezolid til peroralt bruk</w:t>
            </w:r>
          </w:p>
        </w:tc>
      </w:tr>
    </w:tbl>
    <w:p w14:paraId="606D0561" w14:textId="77777777" w:rsidR="00B45FB7" w:rsidRPr="00B45FB7" w:rsidRDefault="00B45FB7" w:rsidP="00B45FB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B45FB7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 </w:t>
      </w:r>
    </w:p>
    <w:p w14:paraId="247476EE" w14:textId="77777777" w:rsidR="00017194" w:rsidRPr="00CF7BEC" w:rsidRDefault="00017194">
      <w:pPr>
        <w:rPr>
          <w:b/>
          <w:bCs/>
        </w:rPr>
      </w:pPr>
    </w:p>
    <w:sectPr w:rsidR="00017194" w:rsidRPr="00CF7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EC"/>
    <w:rsid w:val="00004F17"/>
    <w:rsid w:val="00017194"/>
    <w:rsid w:val="000C15E2"/>
    <w:rsid w:val="000C614C"/>
    <w:rsid w:val="000C788D"/>
    <w:rsid w:val="000D240A"/>
    <w:rsid w:val="000E60BF"/>
    <w:rsid w:val="000F5B6B"/>
    <w:rsid w:val="001A7E78"/>
    <w:rsid w:val="001B217F"/>
    <w:rsid w:val="001B461A"/>
    <w:rsid w:val="00253E28"/>
    <w:rsid w:val="00281014"/>
    <w:rsid w:val="00304F18"/>
    <w:rsid w:val="00342526"/>
    <w:rsid w:val="00364C46"/>
    <w:rsid w:val="003F1290"/>
    <w:rsid w:val="00440619"/>
    <w:rsid w:val="00451029"/>
    <w:rsid w:val="00476259"/>
    <w:rsid w:val="004853F9"/>
    <w:rsid w:val="005277D2"/>
    <w:rsid w:val="0056194E"/>
    <w:rsid w:val="00563366"/>
    <w:rsid w:val="005638F5"/>
    <w:rsid w:val="00575B78"/>
    <w:rsid w:val="005D5747"/>
    <w:rsid w:val="006059F8"/>
    <w:rsid w:val="006141AF"/>
    <w:rsid w:val="00641405"/>
    <w:rsid w:val="00667E46"/>
    <w:rsid w:val="006D1D5E"/>
    <w:rsid w:val="00722D15"/>
    <w:rsid w:val="007243CD"/>
    <w:rsid w:val="00741C6E"/>
    <w:rsid w:val="007D7ADF"/>
    <w:rsid w:val="007E6D26"/>
    <w:rsid w:val="007F41A4"/>
    <w:rsid w:val="00802563"/>
    <w:rsid w:val="00802C21"/>
    <w:rsid w:val="00802CF7"/>
    <w:rsid w:val="00851100"/>
    <w:rsid w:val="0085599B"/>
    <w:rsid w:val="0086152E"/>
    <w:rsid w:val="0086368C"/>
    <w:rsid w:val="008A5C00"/>
    <w:rsid w:val="008B7C02"/>
    <w:rsid w:val="00922B6B"/>
    <w:rsid w:val="00963AE6"/>
    <w:rsid w:val="009A6FE1"/>
    <w:rsid w:val="009E4482"/>
    <w:rsid w:val="00A06CBD"/>
    <w:rsid w:val="00A10E59"/>
    <w:rsid w:val="00A22764"/>
    <w:rsid w:val="00A66C0F"/>
    <w:rsid w:val="00A97C66"/>
    <w:rsid w:val="00AC1206"/>
    <w:rsid w:val="00AC4B4C"/>
    <w:rsid w:val="00B45FB7"/>
    <w:rsid w:val="00B50B05"/>
    <w:rsid w:val="00B574C2"/>
    <w:rsid w:val="00B9458F"/>
    <w:rsid w:val="00BA0606"/>
    <w:rsid w:val="00BD7205"/>
    <w:rsid w:val="00BE6A52"/>
    <w:rsid w:val="00C4726D"/>
    <w:rsid w:val="00C83DAC"/>
    <w:rsid w:val="00C84E95"/>
    <w:rsid w:val="00CA1D4B"/>
    <w:rsid w:val="00CA604E"/>
    <w:rsid w:val="00CC7247"/>
    <w:rsid w:val="00CD5308"/>
    <w:rsid w:val="00CF7BEC"/>
    <w:rsid w:val="00D444CE"/>
    <w:rsid w:val="00D8004D"/>
    <w:rsid w:val="00DC1B29"/>
    <w:rsid w:val="00E24AE7"/>
    <w:rsid w:val="00E54125"/>
    <w:rsid w:val="00EA00E3"/>
    <w:rsid w:val="00EA4B35"/>
    <w:rsid w:val="00EB2F8B"/>
    <w:rsid w:val="00F14261"/>
    <w:rsid w:val="00F17019"/>
    <w:rsid w:val="00F6114A"/>
    <w:rsid w:val="00F770BA"/>
    <w:rsid w:val="00FB55E0"/>
    <w:rsid w:val="00FD003C"/>
    <w:rsid w:val="135FAC42"/>
    <w:rsid w:val="1BB2E040"/>
    <w:rsid w:val="2A99288E"/>
    <w:rsid w:val="352DFB39"/>
    <w:rsid w:val="3838316A"/>
    <w:rsid w:val="38B9E192"/>
    <w:rsid w:val="3E7EDA6C"/>
    <w:rsid w:val="408317CE"/>
    <w:rsid w:val="42599135"/>
    <w:rsid w:val="45EBC00B"/>
    <w:rsid w:val="71C841E6"/>
    <w:rsid w:val="725BE7A5"/>
    <w:rsid w:val="760F8E89"/>
    <w:rsid w:val="7CFFC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1E99"/>
  <w15:chartTrackingRefBased/>
  <w15:docId w15:val="{F4648FAD-24B1-46C7-ADA1-D0F9BDB9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63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C1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5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38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9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4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4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7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2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6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8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9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7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9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06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9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2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1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8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i xmlns="0846b568-edc6-4c55-a20a-c0deb967ef35" xsi:nil="true"/>
    <lcf76f155ced4ddcb4097134ff3c332f xmlns="0846b568-edc6-4c55-a20a-c0deb967ef35">
      <Terms xmlns="http://schemas.microsoft.com/office/infopath/2007/PartnerControls"/>
    </lcf76f155ced4ddcb4097134ff3c332f>
    <TaxCatchAll xmlns="c3c3d65d-6646-461e-a48f-fdc06b297f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353DBF0E57304B8F04661C8BD6246C" ma:contentTypeVersion="16" ma:contentTypeDescription="Opprett et nytt dokument." ma:contentTypeScope="" ma:versionID="a0b8bff0665e31ea41d151c772cd9d02">
  <xsd:schema xmlns:xsd="http://www.w3.org/2001/XMLSchema" xmlns:xs="http://www.w3.org/2001/XMLSchema" xmlns:p="http://schemas.microsoft.com/office/2006/metadata/properties" xmlns:ns2="0846b568-edc6-4c55-a20a-c0deb967ef35" xmlns:ns3="c3c3d65d-6646-461e-a48f-fdc06b297f91" targetNamespace="http://schemas.microsoft.com/office/2006/metadata/properties" ma:root="true" ma:fieldsID="fa5b1bf3471ad2bf6e9c801c86a292bf" ns2:_="" ns3:_="">
    <xsd:import namespace="0846b568-edc6-4c55-a20a-c0deb967ef35"/>
    <xsd:import namespace="c3c3d65d-6646-461e-a48f-fdc06b297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Hei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b568-edc6-4c55-a20a-c0deb967e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Hei" ma:index="20" nillable="true" ma:displayName="Hei" ma:format="Dropdown" ma:internalName="Hei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3d65d-6646-461e-a48f-fdc06b297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8e01fb-dde1-4d35-8a43-c0eb6fefe835}" ma:internalName="TaxCatchAll" ma:showField="CatchAllData" ma:web="c3c3d65d-6646-461e-a48f-fdc06b297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63B31-BE77-4657-B583-7482FA9DCF84}">
  <ds:schemaRefs>
    <ds:schemaRef ds:uri="http://schemas.microsoft.com/office/2006/metadata/properties"/>
    <ds:schemaRef ds:uri="http://schemas.microsoft.com/office/infopath/2007/PartnerControls"/>
    <ds:schemaRef ds:uri="0846b568-edc6-4c55-a20a-c0deb967ef35"/>
    <ds:schemaRef ds:uri="c3c3d65d-6646-461e-a48f-fdc06b297f91"/>
  </ds:schemaRefs>
</ds:datastoreItem>
</file>

<file path=customXml/itemProps2.xml><?xml version="1.0" encoding="utf-8"?>
<ds:datastoreItem xmlns:ds="http://schemas.openxmlformats.org/officeDocument/2006/customXml" ds:itemID="{55B4A253-DB4C-4A16-83C1-308396C56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6b568-edc6-4c55-a20a-c0deb967ef35"/>
    <ds:schemaRef ds:uri="c3c3d65d-6646-461e-a48f-fdc06b297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E72CF-7F09-4B0E-8406-EA03B1A3C4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631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Grendstad</dc:creator>
  <cp:keywords/>
  <dc:description/>
  <cp:lastModifiedBy>Ingvild Grendstad</cp:lastModifiedBy>
  <cp:revision>38</cp:revision>
  <dcterms:created xsi:type="dcterms:W3CDTF">2024-12-17T08:45:00Z</dcterms:created>
  <dcterms:modified xsi:type="dcterms:W3CDTF">2024-12-20T09:27:00Z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0x0101009D353DBF0E57304B8F04661C8BD6246C</vt:lpwstr>
  </property>
</Properties>
</file>