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C945" w14:textId="11CEDB02" w:rsidR="00972775" w:rsidRDefault="00E8362B" w:rsidP="007348C6">
      <w:pPr>
        <w:pStyle w:val="Tittel"/>
      </w:pPr>
    </w:p>
    <w:p w14:paraId="47B4A621" w14:textId="5C7563A8" w:rsidR="007348C6" w:rsidRDefault="007348C6" w:rsidP="00B74159">
      <w:pPr>
        <w:pStyle w:val="Overskrift1"/>
      </w:pPr>
      <w:r>
        <w:t>Hvordan søke om kode i Norsk laboratoriekodeverk</w:t>
      </w:r>
    </w:p>
    <w:p w14:paraId="4A4402A7" w14:textId="2E2699FC" w:rsidR="007348C6" w:rsidRDefault="007348C6" w:rsidP="007348C6"/>
    <w:p w14:paraId="19EE1FCE" w14:textId="66D44FA8" w:rsidR="007348C6" w:rsidRDefault="007348C6" w:rsidP="007348C6">
      <w:r>
        <w:t xml:space="preserve">For å lage ny kode trengs det tilstrekkelig informasjon om analysen. Vi råder til bruk av innmeldingsskjema slik at alle opplysninger vi trenger blir meldt inn. </w:t>
      </w:r>
      <w:r>
        <w:br/>
        <w:t xml:space="preserve">Det kan sendes flere kodeønsker i hvert skjema, en rad per kodeønske. </w:t>
      </w:r>
      <w:r>
        <w:br/>
        <w:t xml:space="preserve">Skjema sendes </w:t>
      </w:r>
      <w:hyperlink r:id="rId4" w:history="1">
        <w:r w:rsidRPr="00C269F7">
          <w:rPr>
            <w:rStyle w:val="Hyperkobling"/>
          </w:rPr>
          <w:t>lab@ehelse.no</w:t>
        </w:r>
      </w:hyperlink>
      <w:r>
        <w:t xml:space="preserve"> </w:t>
      </w:r>
    </w:p>
    <w:p w14:paraId="0CED8AAA" w14:textId="1F2A665A" w:rsidR="007348C6" w:rsidRDefault="007348C6" w:rsidP="007348C6">
      <w:r>
        <w:t>Det er svært nyttig å informere om hvordan de enkelte analysene svares ut. Du kan gjerne legge ved anonymiserte eksempler på prøvesvar til hver analyse.</w:t>
      </w:r>
      <w:r w:rsidR="00465818">
        <w:t xml:space="preserve"> NB!</w:t>
      </w:r>
      <w:r>
        <w:t xml:space="preserve"> </w:t>
      </w:r>
      <w:r w:rsidRPr="007348C6">
        <w:t>Innsendt informasjon skal ikke inneholde helseopplysninger eller andre personopplysninger om pasienter, heller ikke i sladdet form.</w:t>
      </w:r>
    </w:p>
    <w:p w14:paraId="2D09D51F" w14:textId="123B038F" w:rsidR="007348C6" w:rsidRDefault="007348C6" w:rsidP="00B74159">
      <w:pPr>
        <w:pStyle w:val="Overskrift2"/>
      </w:pPr>
      <w:r>
        <w:t xml:space="preserve">Forklaring til kolonnene i skjemaet: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348C6" w14:paraId="506FC525" w14:textId="77777777" w:rsidTr="007348C6">
        <w:tc>
          <w:tcPr>
            <w:tcW w:w="3020" w:type="dxa"/>
          </w:tcPr>
          <w:p w14:paraId="4CEC3520" w14:textId="394CA8E0" w:rsidR="007348C6" w:rsidRPr="007348C6" w:rsidRDefault="007348C6" w:rsidP="007348C6">
            <w:pPr>
              <w:rPr>
                <w:b/>
                <w:bCs/>
              </w:rPr>
            </w:pPr>
            <w:r w:rsidRPr="007348C6">
              <w:rPr>
                <w:b/>
                <w:bCs/>
              </w:rPr>
              <w:t>Kolonnenavn</w:t>
            </w:r>
          </w:p>
        </w:tc>
        <w:tc>
          <w:tcPr>
            <w:tcW w:w="3021" w:type="dxa"/>
          </w:tcPr>
          <w:p w14:paraId="1CBEF707" w14:textId="652AF048" w:rsidR="007348C6" w:rsidRPr="007348C6" w:rsidRDefault="007348C6" w:rsidP="007348C6">
            <w:pPr>
              <w:rPr>
                <w:b/>
                <w:bCs/>
              </w:rPr>
            </w:pPr>
            <w:r w:rsidRPr="007348C6">
              <w:rPr>
                <w:b/>
                <w:bCs/>
              </w:rPr>
              <w:t xml:space="preserve"> Forklaring</w:t>
            </w:r>
          </w:p>
        </w:tc>
        <w:tc>
          <w:tcPr>
            <w:tcW w:w="3021" w:type="dxa"/>
          </w:tcPr>
          <w:p w14:paraId="65177852" w14:textId="401DEB2B" w:rsidR="007348C6" w:rsidRPr="007348C6" w:rsidRDefault="007348C6" w:rsidP="007348C6">
            <w:pPr>
              <w:rPr>
                <w:b/>
                <w:bCs/>
              </w:rPr>
            </w:pPr>
            <w:r w:rsidRPr="007348C6">
              <w:rPr>
                <w:b/>
                <w:bCs/>
              </w:rPr>
              <w:t>Eksempler</w:t>
            </w:r>
          </w:p>
        </w:tc>
      </w:tr>
      <w:tr w:rsidR="007348C6" w14:paraId="66751C00" w14:textId="77777777" w:rsidTr="007348C6">
        <w:tc>
          <w:tcPr>
            <w:tcW w:w="3020" w:type="dxa"/>
          </w:tcPr>
          <w:p w14:paraId="6AEAF0BC" w14:textId="45751E04" w:rsidR="007348C6" w:rsidRDefault="007348C6" w:rsidP="007348C6">
            <w:r>
              <w:t>Lokalt analysenavn</w:t>
            </w:r>
          </w:p>
        </w:tc>
        <w:tc>
          <w:tcPr>
            <w:tcW w:w="3021" w:type="dxa"/>
          </w:tcPr>
          <w:p w14:paraId="52224366" w14:textId="213AD505" w:rsidR="007348C6" w:rsidRDefault="007348C6" w:rsidP="007348C6">
            <w:r>
              <w:t>Har analysen et lokalt navn i dag?</w:t>
            </w:r>
          </w:p>
        </w:tc>
        <w:tc>
          <w:tcPr>
            <w:tcW w:w="3021" w:type="dxa"/>
          </w:tcPr>
          <w:p w14:paraId="07807780" w14:textId="77777777" w:rsidR="007348C6" w:rsidRDefault="007348C6" w:rsidP="007348C6"/>
        </w:tc>
      </w:tr>
      <w:tr w:rsidR="007348C6" w14:paraId="1AAE9D01" w14:textId="77777777" w:rsidTr="007348C6">
        <w:tc>
          <w:tcPr>
            <w:tcW w:w="3020" w:type="dxa"/>
          </w:tcPr>
          <w:p w14:paraId="35C0162D" w14:textId="329C6786" w:rsidR="007348C6" w:rsidRDefault="007348C6" w:rsidP="007348C6">
            <w:r>
              <w:t>System</w:t>
            </w:r>
          </w:p>
        </w:tc>
        <w:tc>
          <w:tcPr>
            <w:tcW w:w="3021" w:type="dxa"/>
          </w:tcPr>
          <w:p w14:paraId="251F7E96" w14:textId="36A05855" w:rsidR="007348C6" w:rsidRDefault="007348C6" w:rsidP="007348C6">
            <w:r>
              <w:t>Hvilken del av pasienten skal undersøkes</w:t>
            </w:r>
          </w:p>
        </w:tc>
        <w:tc>
          <w:tcPr>
            <w:tcW w:w="3021" w:type="dxa"/>
          </w:tcPr>
          <w:p w14:paraId="444809D9" w14:textId="350A9A68" w:rsidR="007348C6" w:rsidRDefault="007348C6" w:rsidP="007348C6">
            <w:r>
              <w:t>Urin, spinalvæske, blod</w:t>
            </w:r>
          </w:p>
        </w:tc>
      </w:tr>
      <w:tr w:rsidR="007348C6" w14:paraId="4A574247" w14:textId="77777777" w:rsidTr="007348C6">
        <w:tc>
          <w:tcPr>
            <w:tcW w:w="3020" w:type="dxa"/>
          </w:tcPr>
          <w:p w14:paraId="37C9FAAB" w14:textId="57BDDB61" w:rsidR="007348C6" w:rsidRDefault="007348C6" w:rsidP="007348C6">
            <w:r>
              <w:t>Komponent</w:t>
            </w:r>
          </w:p>
        </w:tc>
        <w:tc>
          <w:tcPr>
            <w:tcW w:w="3021" w:type="dxa"/>
          </w:tcPr>
          <w:p w14:paraId="5AA23AA6" w14:textId="3F8743A5" w:rsidR="007348C6" w:rsidRDefault="007348C6" w:rsidP="007348C6">
            <w:r>
              <w:t>Hva leter man etter?</w:t>
            </w:r>
          </w:p>
        </w:tc>
        <w:tc>
          <w:tcPr>
            <w:tcW w:w="3021" w:type="dxa"/>
          </w:tcPr>
          <w:p w14:paraId="1CB0EBEA" w14:textId="1805807D" w:rsidR="007348C6" w:rsidRDefault="007348C6" w:rsidP="007348C6">
            <w:r>
              <w:t>Kalsium, Staphylococcus aureus</w:t>
            </w:r>
          </w:p>
        </w:tc>
      </w:tr>
      <w:tr w:rsidR="007348C6" w14:paraId="5278EFAA" w14:textId="77777777" w:rsidTr="007348C6">
        <w:tc>
          <w:tcPr>
            <w:tcW w:w="3020" w:type="dxa"/>
          </w:tcPr>
          <w:p w14:paraId="10968892" w14:textId="336C5780" w:rsidR="007348C6" w:rsidRDefault="007348C6" w:rsidP="007348C6">
            <w:r>
              <w:t>Enhet</w:t>
            </w:r>
          </w:p>
        </w:tc>
        <w:tc>
          <w:tcPr>
            <w:tcW w:w="3021" w:type="dxa"/>
          </w:tcPr>
          <w:p w14:paraId="7A01F64B" w14:textId="6AE362F6" w:rsidR="007348C6" w:rsidRDefault="007348C6" w:rsidP="007348C6">
            <w:r>
              <w:t>Hvordan svares resultatet ut?</w:t>
            </w:r>
          </w:p>
        </w:tc>
        <w:tc>
          <w:tcPr>
            <w:tcW w:w="3021" w:type="dxa"/>
          </w:tcPr>
          <w:p w14:paraId="3852905C" w14:textId="36299AE2" w:rsidR="007348C6" w:rsidRDefault="007348C6" w:rsidP="007348C6">
            <w:r>
              <w:t>SI-enheter, IU/L, WHOs referensepreparasjon</w:t>
            </w:r>
          </w:p>
        </w:tc>
      </w:tr>
      <w:tr w:rsidR="007348C6" w14:paraId="533476C4" w14:textId="77777777" w:rsidTr="007348C6">
        <w:tc>
          <w:tcPr>
            <w:tcW w:w="3020" w:type="dxa"/>
          </w:tcPr>
          <w:p w14:paraId="5A57BD7B" w14:textId="17305960" w:rsidR="007348C6" w:rsidRDefault="007348C6" w:rsidP="007348C6">
            <w:r>
              <w:t>Egenskapsart</w:t>
            </w:r>
          </w:p>
        </w:tc>
        <w:tc>
          <w:tcPr>
            <w:tcW w:w="3021" w:type="dxa"/>
          </w:tcPr>
          <w:p w14:paraId="730CEF0C" w14:textId="7467FD89" w:rsidR="007348C6" w:rsidRDefault="007348C6" w:rsidP="007348C6">
            <w:r>
              <w:t>Hvilken egenskap ved komponenten undersøkes?</w:t>
            </w:r>
          </w:p>
        </w:tc>
        <w:tc>
          <w:tcPr>
            <w:tcW w:w="3021" w:type="dxa"/>
          </w:tcPr>
          <w:p w14:paraId="523B979E" w14:textId="5B3790EF" w:rsidR="007348C6" w:rsidRDefault="007348C6" w:rsidP="007348C6">
            <w:r>
              <w:t>Massekonsentrasjon, arbitrærkonsentrasjon</w:t>
            </w:r>
          </w:p>
        </w:tc>
      </w:tr>
      <w:tr w:rsidR="007348C6" w14:paraId="457681D8" w14:textId="77777777" w:rsidTr="007348C6">
        <w:tc>
          <w:tcPr>
            <w:tcW w:w="3020" w:type="dxa"/>
          </w:tcPr>
          <w:p w14:paraId="2A291B7E" w14:textId="2FD78D4F" w:rsidR="007348C6" w:rsidRDefault="007348C6" w:rsidP="007348C6">
            <w:r>
              <w:t>Skalatype</w:t>
            </w:r>
          </w:p>
        </w:tc>
        <w:tc>
          <w:tcPr>
            <w:tcW w:w="3021" w:type="dxa"/>
          </w:tcPr>
          <w:p w14:paraId="06108765" w14:textId="734E510B" w:rsidR="007348C6" w:rsidRDefault="007348C6" w:rsidP="007348C6">
            <w:r>
              <w:t>Type verdisett for resultatverdier</w:t>
            </w:r>
          </w:p>
        </w:tc>
        <w:tc>
          <w:tcPr>
            <w:tcW w:w="3021" w:type="dxa"/>
          </w:tcPr>
          <w:p w14:paraId="4326E045" w14:textId="7DD1254C" w:rsidR="007348C6" w:rsidRDefault="007348C6" w:rsidP="007348C6">
            <w:r>
              <w:t>Ordinal, ratio, differensial</w:t>
            </w:r>
          </w:p>
        </w:tc>
      </w:tr>
      <w:tr w:rsidR="007348C6" w14:paraId="0569FBFF" w14:textId="77777777" w:rsidTr="007348C6">
        <w:tc>
          <w:tcPr>
            <w:tcW w:w="3020" w:type="dxa"/>
          </w:tcPr>
          <w:p w14:paraId="22147607" w14:textId="45D9D21A" w:rsidR="007348C6" w:rsidRDefault="007348C6" w:rsidP="007348C6">
            <w:r>
              <w:t>Forslag til norsk bruksnavn</w:t>
            </w:r>
          </w:p>
        </w:tc>
        <w:tc>
          <w:tcPr>
            <w:tcW w:w="3021" w:type="dxa"/>
          </w:tcPr>
          <w:p w14:paraId="0600A61D" w14:textId="5C9D1886" w:rsidR="007348C6" w:rsidRDefault="007348C6" w:rsidP="007348C6">
            <w:r>
              <w:t>Hovedregelen er systemprefiks-bindestrek-komponentnavn</w:t>
            </w:r>
          </w:p>
        </w:tc>
        <w:tc>
          <w:tcPr>
            <w:tcW w:w="3021" w:type="dxa"/>
          </w:tcPr>
          <w:p w14:paraId="61F16985" w14:textId="0745A819" w:rsidR="007348C6" w:rsidRDefault="007348C6" w:rsidP="007348C6">
            <w:r>
              <w:t>U-Efedrin</w:t>
            </w:r>
          </w:p>
        </w:tc>
      </w:tr>
      <w:tr w:rsidR="007348C6" w14:paraId="3AD35600" w14:textId="77777777" w:rsidTr="007348C6">
        <w:tc>
          <w:tcPr>
            <w:tcW w:w="3020" w:type="dxa"/>
          </w:tcPr>
          <w:p w14:paraId="402B4E6A" w14:textId="462A44CC" w:rsidR="007348C6" w:rsidRDefault="007348C6" w:rsidP="007348C6">
            <w:r>
              <w:t>Forslag til synonymer</w:t>
            </w:r>
          </w:p>
        </w:tc>
        <w:tc>
          <w:tcPr>
            <w:tcW w:w="3021" w:type="dxa"/>
          </w:tcPr>
          <w:p w14:paraId="586C09F4" w14:textId="01289A90" w:rsidR="007348C6" w:rsidRDefault="007348C6" w:rsidP="007348C6">
            <w:r>
              <w:t>Brukes ved søk i internasjonal database</w:t>
            </w:r>
          </w:p>
        </w:tc>
        <w:tc>
          <w:tcPr>
            <w:tcW w:w="3021" w:type="dxa"/>
          </w:tcPr>
          <w:p w14:paraId="43C6C07D" w14:textId="77777777" w:rsidR="007348C6" w:rsidRDefault="007348C6" w:rsidP="007348C6"/>
        </w:tc>
      </w:tr>
      <w:tr w:rsidR="007348C6" w14:paraId="0756C3AD" w14:textId="77777777" w:rsidTr="007348C6">
        <w:tc>
          <w:tcPr>
            <w:tcW w:w="3020" w:type="dxa"/>
          </w:tcPr>
          <w:p w14:paraId="553F8A00" w14:textId="013006BC" w:rsidR="007348C6" w:rsidRDefault="007348C6" w:rsidP="007348C6">
            <w:r>
              <w:t>Referanse til komponent</w:t>
            </w:r>
          </w:p>
        </w:tc>
        <w:tc>
          <w:tcPr>
            <w:tcW w:w="3021" w:type="dxa"/>
          </w:tcPr>
          <w:p w14:paraId="019DFFF7" w14:textId="3B41F64B" w:rsidR="007348C6" w:rsidRDefault="007348C6" w:rsidP="007348C6">
            <w:r>
              <w:t xml:space="preserve">Hvis ny komponent i kodeverket må det oppgis en internasjonal referanse </w:t>
            </w:r>
          </w:p>
        </w:tc>
        <w:tc>
          <w:tcPr>
            <w:tcW w:w="3021" w:type="dxa"/>
          </w:tcPr>
          <w:p w14:paraId="257151AB" w14:textId="2E55B2F7" w:rsidR="007348C6" w:rsidRDefault="007348C6" w:rsidP="00B74159">
            <w:pPr>
              <w:pStyle w:val="NormalWeb"/>
              <w:spacing w:before="0" w:beforeAutospacing="0" w:after="300" w:afterAutospacing="0"/>
            </w:pP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Måleenheter </w:t>
            </w:r>
            <w:hyperlink r:id="rId5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BIPM 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Enzymer </w:t>
            </w:r>
            <w:hyperlink r:id="rId6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Expasy 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Humane gener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hyperlink r:id="rId7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HUGO 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Virus </w:t>
            </w:r>
            <w:hyperlink r:id="rId8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ICTV 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Blodtyper </w:t>
            </w:r>
            <w:hyperlink r:id="rId9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ISBT 128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Allergener </w:t>
            </w:r>
            <w:hyperlink r:id="rId10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IUIS 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Kjemiske begreper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hyperlink r:id="rId11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IUPAC Gold Book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Bakterier </w:t>
            </w:r>
            <w:hyperlink r:id="rId12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LPSN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Allmenn</w:t>
            </w:r>
            <w:r w:rsidRPr="007348C6">
              <w:rPr>
                <w:rStyle w:val="Sterk"/>
                <w:b w:val="0"/>
                <w:bCs w:val="0"/>
              </w:rPr>
              <w:t>e</w:t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e medicinske begreper </w:t>
            </w:r>
            <w:hyperlink r:id="rId13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MeSH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Proteiner </w:t>
            </w:r>
            <w:hyperlink r:id="rId14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Uniprot 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br/>
            </w:r>
            <w:r w:rsidRPr="007348C6">
              <w:rPr>
                <w:rStyle w:val="Sterk"/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Organismer generelt</w:t>
            </w:r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  <w:hyperlink r:id="rId15" w:tgtFrame="_blank" w:tooltip="Link åbner i nyt vindue" w:history="1">
              <w:r w:rsidRPr="007348C6">
                <w:rPr>
                  <w:rStyle w:val="Hyperkobling"/>
                  <w:rFonts w:ascii="Arial" w:hAnsi="Arial" w:cs="Arial"/>
                  <w:b/>
                  <w:bCs/>
                  <w:color w:val="0A405D"/>
                  <w:sz w:val="21"/>
                  <w:szCs w:val="21"/>
                </w:rPr>
                <w:t>NCBI Taxonomy Browser</w:t>
              </w:r>
            </w:hyperlink>
            <w:r w:rsidRPr="007348C6"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  <w:t> </w:t>
            </w:r>
          </w:p>
        </w:tc>
      </w:tr>
      <w:tr w:rsidR="007348C6" w14:paraId="24EB947A" w14:textId="77777777" w:rsidTr="007348C6">
        <w:tc>
          <w:tcPr>
            <w:tcW w:w="3020" w:type="dxa"/>
          </w:tcPr>
          <w:p w14:paraId="4A07F802" w14:textId="11A526F4" w:rsidR="007348C6" w:rsidRDefault="007348C6" w:rsidP="007348C6">
            <w:r>
              <w:t>Finnes en lignende kode</w:t>
            </w:r>
          </w:p>
        </w:tc>
        <w:tc>
          <w:tcPr>
            <w:tcW w:w="3021" w:type="dxa"/>
          </w:tcPr>
          <w:p w14:paraId="2EC2422A" w14:textId="463F8276" w:rsidR="007348C6" w:rsidRDefault="00B74159" w:rsidP="007348C6">
            <w:r>
              <w:t xml:space="preserve">Referanse til kode som nesten stemmer, men som for </w:t>
            </w:r>
            <w:r>
              <w:lastRenderedPageBreak/>
              <w:t>eksempel har et annet system eller en annen enhet</w:t>
            </w:r>
          </w:p>
        </w:tc>
        <w:tc>
          <w:tcPr>
            <w:tcW w:w="3021" w:type="dxa"/>
          </w:tcPr>
          <w:p w14:paraId="6D710C23" w14:textId="77777777" w:rsidR="007348C6" w:rsidRDefault="007348C6" w:rsidP="007348C6"/>
        </w:tc>
      </w:tr>
      <w:tr w:rsidR="007348C6" w14:paraId="57AFFE0D" w14:textId="77777777" w:rsidTr="007348C6">
        <w:tc>
          <w:tcPr>
            <w:tcW w:w="3020" w:type="dxa"/>
          </w:tcPr>
          <w:p w14:paraId="1E64D66A" w14:textId="4A83C3AA" w:rsidR="007348C6" w:rsidRDefault="007348C6" w:rsidP="007348C6">
            <w:r>
              <w:t>Foreslått kodedefinisjon</w:t>
            </w:r>
          </w:p>
        </w:tc>
        <w:tc>
          <w:tcPr>
            <w:tcW w:w="3021" w:type="dxa"/>
          </w:tcPr>
          <w:p w14:paraId="1D826179" w14:textId="6472C228" w:rsidR="007348C6" w:rsidRDefault="00B74159" w:rsidP="007348C6">
            <w:r>
              <w:t>NPUxxxxx System— Komponent; Egenskapsart = ? enhet</w:t>
            </w:r>
          </w:p>
        </w:tc>
        <w:tc>
          <w:tcPr>
            <w:tcW w:w="3021" w:type="dxa"/>
          </w:tcPr>
          <w:p w14:paraId="2DE224F1" w14:textId="77777777" w:rsidR="007348C6" w:rsidRDefault="007348C6" w:rsidP="007348C6"/>
        </w:tc>
      </w:tr>
      <w:tr w:rsidR="007348C6" w14:paraId="1BB078BF" w14:textId="77777777" w:rsidTr="007348C6">
        <w:tc>
          <w:tcPr>
            <w:tcW w:w="3020" w:type="dxa"/>
          </w:tcPr>
          <w:p w14:paraId="6C91FDD7" w14:textId="5F2460DF" w:rsidR="007348C6" w:rsidRDefault="007348C6" w:rsidP="007348C6">
            <w:r>
              <w:t>Finnes koden allerede i Labterm?</w:t>
            </w:r>
          </w:p>
        </w:tc>
        <w:tc>
          <w:tcPr>
            <w:tcW w:w="3021" w:type="dxa"/>
          </w:tcPr>
          <w:p w14:paraId="37C40E0D" w14:textId="4D91CB65" w:rsidR="007348C6" w:rsidRDefault="00B74159" w:rsidP="007348C6">
            <w:r>
              <w:t>Oppgi kode fra LabTerm, men ha også med opplysninger i de øvrige kolonner slik at E-helse kan vurdere om kodevalget er korrekt for analysen</w:t>
            </w:r>
          </w:p>
        </w:tc>
        <w:tc>
          <w:tcPr>
            <w:tcW w:w="3021" w:type="dxa"/>
          </w:tcPr>
          <w:p w14:paraId="775BE6C1" w14:textId="112DE2BB" w:rsidR="007348C6" w:rsidRDefault="007348C6" w:rsidP="007348C6"/>
        </w:tc>
      </w:tr>
      <w:tr w:rsidR="007348C6" w14:paraId="2CD54870" w14:textId="77777777" w:rsidTr="007348C6">
        <w:tc>
          <w:tcPr>
            <w:tcW w:w="3020" w:type="dxa"/>
          </w:tcPr>
          <w:p w14:paraId="5E51D89D" w14:textId="1190128D" w:rsidR="007348C6" w:rsidRDefault="007348C6" w:rsidP="007348C6">
            <w:r>
              <w:t>Fristekstforklaring av kodebehov</w:t>
            </w:r>
          </w:p>
        </w:tc>
        <w:tc>
          <w:tcPr>
            <w:tcW w:w="3021" w:type="dxa"/>
          </w:tcPr>
          <w:p w14:paraId="04EFF5E0" w14:textId="34054916" w:rsidR="007348C6" w:rsidRDefault="00B74159" w:rsidP="007348C6">
            <w:r>
              <w:t>Dersom kodebehovet ikke lar seg beskrive i de forutgående felter kan det bety at kodeønsket faller utenfor NLK</w:t>
            </w:r>
          </w:p>
        </w:tc>
        <w:tc>
          <w:tcPr>
            <w:tcW w:w="3021" w:type="dxa"/>
          </w:tcPr>
          <w:p w14:paraId="04B84900" w14:textId="77777777" w:rsidR="007348C6" w:rsidRDefault="007348C6" w:rsidP="007348C6"/>
        </w:tc>
      </w:tr>
      <w:tr w:rsidR="00B74159" w14:paraId="12E558F2" w14:textId="77777777" w:rsidTr="007348C6">
        <w:tc>
          <w:tcPr>
            <w:tcW w:w="3020" w:type="dxa"/>
          </w:tcPr>
          <w:p w14:paraId="1AC1C5A9" w14:textId="783A4F10" w:rsidR="00B74159" w:rsidRPr="00B74159" w:rsidRDefault="00B74159" w:rsidP="007348C6">
            <w:r w:rsidRPr="00B74159">
              <w:rPr>
                <w:color w:val="000000"/>
              </w:rPr>
              <w:t>Jeg bekrefter at dette skjemaet og tilhørende e-post ikke inneholder helseopplysninger eller andre personopplysninger om pasienter, heller ikke i sladdet form (må bekreftes at skjemaet skal tas til vurdering)</w:t>
            </w:r>
          </w:p>
        </w:tc>
        <w:tc>
          <w:tcPr>
            <w:tcW w:w="3021" w:type="dxa"/>
          </w:tcPr>
          <w:p w14:paraId="16C8AE80" w14:textId="1A7A68AC" w:rsidR="00B74159" w:rsidRDefault="00B74159" w:rsidP="007348C6">
            <w:r>
              <w:t>Må bekreftes av innmelder</w:t>
            </w:r>
            <w:r w:rsidR="00B93536">
              <w:t xml:space="preserve"> ved å skrive f.eks. </w:t>
            </w:r>
            <w:r w:rsidR="00E8362B">
              <w:t>«bekreftes»</w:t>
            </w:r>
          </w:p>
        </w:tc>
        <w:tc>
          <w:tcPr>
            <w:tcW w:w="3021" w:type="dxa"/>
          </w:tcPr>
          <w:p w14:paraId="2BDB30A1" w14:textId="77777777" w:rsidR="00B74159" w:rsidRDefault="00B74159" w:rsidP="007348C6"/>
        </w:tc>
      </w:tr>
    </w:tbl>
    <w:p w14:paraId="7D044502" w14:textId="77777777" w:rsidR="007348C6" w:rsidRDefault="007348C6" w:rsidP="007348C6"/>
    <w:p w14:paraId="1133EEA8" w14:textId="77777777" w:rsidR="007348C6" w:rsidRPr="007348C6" w:rsidRDefault="007348C6" w:rsidP="007348C6"/>
    <w:sectPr w:rsidR="007348C6" w:rsidRPr="0073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C6"/>
    <w:rsid w:val="000759C7"/>
    <w:rsid w:val="00202485"/>
    <w:rsid w:val="00465818"/>
    <w:rsid w:val="006E2C19"/>
    <w:rsid w:val="007348C6"/>
    <w:rsid w:val="00B74159"/>
    <w:rsid w:val="00B93536"/>
    <w:rsid w:val="00D41216"/>
    <w:rsid w:val="00E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B073"/>
  <w15:chartTrackingRefBased/>
  <w15:docId w15:val="{37CFB095-CF1F-4FD8-9C94-D849E3E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4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4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348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348C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348C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73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348C6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74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41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v.global/" TargetMode="External"/><Relationship Id="rId13" Type="http://schemas.openxmlformats.org/officeDocument/2006/relationships/hyperlink" Target="https://www.nlm.nih.gov/mesh/MBrows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nenames.org/" TargetMode="External"/><Relationship Id="rId12" Type="http://schemas.openxmlformats.org/officeDocument/2006/relationships/hyperlink" Target="http://www.bacterio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zyme.expasy.org/" TargetMode="External"/><Relationship Id="rId11" Type="http://schemas.openxmlformats.org/officeDocument/2006/relationships/hyperlink" Target="http://goldbook.iupac.org/" TargetMode="External"/><Relationship Id="rId5" Type="http://schemas.openxmlformats.org/officeDocument/2006/relationships/hyperlink" Target="http://www.bipm.org/en/measurement-units/" TargetMode="External"/><Relationship Id="rId15" Type="http://schemas.openxmlformats.org/officeDocument/2006/relationships/hyperlink" Target="http://www.ncbi.nlm.nih.gov/Taxonomy/Browser/wwwtax.cgi" TargetMode="External"/><Relationship Id="rId10" Type="http://schemas.openxmlformats.org/officeDocument/2006/relationships/hyperlink" Target="http://allergen.org/" TargetMode="External"/><Relationship Id="rId4" Type="http://schemas.openxmlformats.org/officeDocument/2006/relationships/hyperlink" Target="mailto:lab@ehelse.no" TargetMode="External"/><Relationship Id="rId9" Type="http://schemas.openxmlformats.org/officeDocument/2006/relationships/hyperlink" Target="https://iccbba.org/home" TargetMode="External"/><Relationship Id="rId14" Type="http://schemas.openxmlformats.org/officeDocument/2006/relationships/hyperlink" Target="http://www.uniprot.or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Tuft Stavnes</dc:creator>
  <cp:keywords/>
  <dc:description/>
  <cp:lastModifiedBy>Helene Tuft Stavnes</cp:lastModifiedBy>
  <cp:revision>4</cp:revision>
  <dcterms:created xsi:type="dcterms:W3CDTF">2022-09-27T11:44:00Z</dcterms:created>
  <dcterms:modified xsi:type="dcterms:W3CDTF">2022-10-12T11:36:00Z</dcterms:modified>
</cp:coreProperties>
</file>